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CBC0DA" w14:textId="77777777" w:rsidR="00474AF3" w:rsidRDefault="00474AF3" w:rsidP="00474AF3">
      <w:pPr>
        <w:pStyle w:val="Heading8"/>
      </w:pPr>
      <w:bookmarkStart w:id="0" w:name="OLE_LINK1"/>
      <w:bookmarkStart w:id="1" w:name="OLE_LINK2"/>
      <w:bookmarkStart w:id="2" w:name="_GoBack"/>
      <w:bookmarkEnd w:id="2"/>
      <w:r>
        <w:t xml:space="preserve">TREIZIÈME RÉUNION DES MINISTRES </w:t>
      </w:r>
    </w:p>
    <w:p w14:paraId="55B25F2F" w14:textId="3A857093" w:rsidR="00474AF3" w:rsidRPr="006E1864" w:rsidRDefault="00474AF3" w:rsidP="00474AF3">
      <w:pPr>
        <w:tabs>
          <w:tab w:val="left" w:pos="8505"/>
        </w:tabs>
        <w:spacing w:before="0" w:after="0"/>
        <w:ind w:right="-754"/>
        <w:rPr>
          <w:rFonts w:eastAsia="Malgun Gothic" w:cs="Times New Roman"/>
          <w:b/>
          <w:lang w:val="fr-FR"/>
        </w:rPr>
      </w:pPr>
      <w:r>
        <w:rPr>
          <w:rFonts w:cs="Times New Roman"/>
          <w:b/>
          <w:bCs/>
          <w:lang w:val="fr"/>
        </w:rPr>
        <w:t xml:space="preserve">DE LA SANTÉ DES PAYS OCÉANIENS                                           </w:t>
      </w:r>
      <w:r w:rsidR="0056763A" w:rsidRPr="0056763A">
        <w:rPr>
          <w:rFonts w:cs="Times New Roman"/>
          <w:b/>
          <w:bCs/>
          <w:lang w:val="fr"/>
        </w:rPr>
        <w:t>PIC13/S4/3</w:t>
      </w:r>
      <w:r w:rsidR="0056763A" w:rsidRPr="0056763A">
        <w:rPr>
          <w:rFonts w:cs="Times New Roman"/>
          <w:b/>
          <w:bCs/>
          <w:lang w:val="fr"/>
        </w:rPr>
        <w:tab/>
      </w:r>
    </w:p>
    <w:p w14:paraId="22D41569" w14:textId="77777777" w:rsidR="00474AF3" w:rsidRPr="00474AF3" w:rsidRDefault="00474AF3" w:rsidP="00474AF3">
      <w:pPr>
        <w:pStyle w:val="Heading8"/>
        <w:rPr>
          <w:rFonts w:eastAsia="Malgun Gothic"/>
          <w:lang w:val="fr-FR"/>
        </w:rPr>
      </w:pPr>
      <w:r w:rsidRPr="00474AF3">
        <w:rPr>
          <w:rFonts w:eastAsia="Malgun Gothic"/>
        </w:rPr>
        <w:t>Papeete (Polynésie française)                                                                 11 juin 2019</w:t>
      </w:r>
    </w:p>
    <w:p w14:paraId="65DA7920" w14:textId="2CCC8418" w:rsidR="00091380" w:rsidRPr="00474AF3" w:rsidRDefault="0005028A" w:rsidP="00474AF3">
      <w:pPr>
        <w:tabs>
          <w:tab w:val="left" w:pos="6300"/>
        </w:tabs>
        <w:spacing w:before="0" w:after="0"/>
        <w:rPr>
          <w:rFonts w:cs="Times New Roman"/>
          <w:b/>
          <w:bCs/>
          <w:lang w:val="fr-FR"/>
        </w:rPr>
      </w:pPr>
      <w:r>
        <w:rPr>
          <w:rFonts w:eastAsia="Malgun Gothic" w:cs="Times New Roman"/>
          <w:b/>
          <w:bCs/>
          <w:lang w:val="fr"/>
        </w:rPr>
        <w:t>6–</w:t>
      </w:r>
      <w:r w:rsidR="00474AF3">
        <w:rPr>
          <w:rFonts w:eastAsia="Malgun Gothic" w:cs="Times New Roman"/>
          <w:b/>
          <w:bCs/>
          <w:lang w:val="fr"/>
        </w:rPr>
        <w:t>8 août 2019</w:t>
      </w:r>
      <w:r w:rsidR="00474AF3">
        <w:rPr>
          <w:rFonts w:eastAsia="Malgun Gothic" w:cs="Times New Roman"/>
          <w:lang w:val="fr"/>
        </w:rPr>
        <w:tab/>
      </w:r>
      <w:r w:rsidR="00474AF3">
        <w:rPr>
          <w:rFonts w:eastAsia="Malgun Gothic" w:cs="Times New Roman"/>
          <w:b/>
          <w:bCs/>
          <w:lang w:val="fr"/>
        </w:rPr>
        <w:t>ORIGINAL : ANGLAIS</w:t>
      </w:r>
    </w:p>
    <w:p w14:paraId="1B8D05C4" w14:textId="77777777" w:rsidR="008E0E4B" w:rsidRPr="00300E07" w:rsidRDefault="002220BC" w:rsidP="008555A9">
      <w:pPr>
        <w:pStyle w:val="Heading7"/>
        <w:rPr>
          <w:rFonts w:ascii="Times New Roman" w:hAnsi="Times New Roman" w:cs="Times New Roman"/>
          <w:caps/>
          <w:sz w:val="22"/>
          <w:szCs w:val="22"/>
          <w:lang w:val="fr-FR"/>
        </w:rPr>
      </w:pPr>
      <w:r w:rsidRPr="005314F7">
        <w:rPr>
          <w:rFonts w:ascii="Times New Roman" w:hAnsi="Times New Roman" w:cs="Times New Roman"/>
          <w:bCs/>
          <w:caps/>
          <w:sz w:val="22"/>
          <w:szCs w:val="22"/>
          <w:lang w:val="fr"/>
        </w:rPr>
        <w:t xml:space="preserve">Le cadre législatif du Pacifique </w:t>
      </w:r>
      <w:r w:rsidRPr="005314F7">
        <w:rPr>
          <w:rFonts w:ascii="Times New Roman" w:hAnsi="Times New Roman" w:cs="Times New Roman"/>
          <w:b w:val="0"/>
          <w:caps/>
          <w:sz w:val="22"/>
          <w:szCs w:val="22"/>
          <w:lang w:val="fr"/>
        </w:rPr>
        <w:br/>
      </w:r>
      <w:r w:rsidRPr="005314F7">
        <w:rPr>
          <w:rFonts w:ascii="Times New Roman" w:hAnsi="Times New Roman" w:cs="Times New Roman"/>
          <w:bCs/>
          <w:caps/>
          <w:sz w:val="22"/>
          <w:szCs w:val="22"/>
          <w:lang w:val="fr"/>
        </w:rPr>
        <w:t>pour la lutte contre les maladies non transmissibles : Rapport sur les progrès réalisés</w:t>
      </w:r>
    </w:p>
    <w:p w14:paraId="0C22E721" w14:textId="5FBE44E1" w:rsidR="0010029D" w:rsidRPr="00B816C7" w:rsidRDefault="0010029D" w:rsidP="00FE6B67">
      <w:pPr>
        <w:pStyle w:val="boxedsummary"/>
        <w:ind w:firstLine="468"/>
        <w:rPr>
          <w:lang w:val="fr-FR"/>
        </w:rPr>
      </w:pPr>
      <w:r w:rsidRPr="00B816C7">
        <w:rPr>
          <w:lang w:val="fr"/>
        </w:rPr>
        <w:t xml:space="preserve">Les mesures législatives constituent des outils importants pour la lutte contre les maladies non transmissibles (MNT). Conscients de ce fait, les ministres de la santé des pays océaniens ont approuvé une note de synthèse sur le cadre législatif du Pacifique pour la lutte contre les MNT proposé. </w:t>
      </w:r>
      <w:r w:rsidR="006A6BE5" w:rsidRPr="00B816C7">
        <w:rPr>
          <w:lang w:val="fr"/>
        </w:rPr>
        <w:t>En 2</w:t>
      </w:r>
      <w:r w:rsidRPr="00B816C7">
        <w:rPr>
          <w:lang w:val="fr"/>
        </w:rPr>
        <w:t xml:space="preserve">018, les directeurs océaniens de la santé sont convenus que le cadre proposé devrait inclure l'ensemble des mesures législatives jugées appropriées pour lutter contre les MNT. </w:t>
      </w:r>
    </w:p>
    <w:p w14:paraId="320995EF" w14:textId="2CC76629" w:rsidR="00462EBC" w:rsidRPr="00922587" w:rsidRDefault="00C93425" w:rsidP="00FE6B67">
      <w:pPr>
        <w:pStyle w:val="boxedsummary"/>
        <w:ind w:firstLine="468"/>
        <w:rPr>
          <w:lang w:val="fr-FR"/>
        </w:rPr>
      </w:pPr>
      <w:r w:rsidRPr="00C21374">
        <w:rPr>
          <w:lang w:val="fr"/>
        </w:rPr>
        <w:t>Depuis </w:t>
      </w:r>
      <w:r w:rsidR="008E2F03" w:rsidRPr="00C21374">
        <w:rPr>
          <w:lang w:val="fr"/>
        </w:rPr>
        <w:t>2018, des mesures ont été prises en vue de rédiger ce cadre législatif du Pacifique, y compris un examen préliminaire et une analyse des politiques et réunions consultatives sur les MNT, avec l'aide de spécialistes de la santé, de rédacteurs législatifs, de partenaires et d'universitaires. Le contenu du cadre proposé s'appuiera sur les facteurs de risque clés pour les MNT et définira les politiques législatives, le plan législatif et la version prél</w:t>
      </w:r>
      <w:r w:rsidR="008E2F03" w:rsidRPr="00922587">
        <w:rPr>
          <w:lang w:val="fr"/>
        </w:rPr>
        <w:t>iminaire des dispositions législatives pour chacun de ces facteurs.</w:t>
      </w:r>
    </w:p>
    <w:p w14:paraId="3CDC0754" w14:textId="232BE5C4" w:rsidR="007608DB" w:rsidRPr="00922587" w:rsidRDefault="00462EBC" w:rsidP="006C793F">
      <w:pPr>
        <w:pStyle w:val="boxedsummary"/>
        <w:ind w:firstLine="468"/>
        <w:rPr>
          <w:lang w:val="fr"/>
        </w:rPr>
      </w:pPr>
      <w:r w:rsidRPr="00922587">
        <w:rPr>
          <w:lang w:val="fr"/>
        </w:rPr>
        <w:t>L'élaboration du cadre législatif du Pacifique appelle à des consultations approfondies avec les parties prenantes concernées. Les ministres de la s</w:t>
      </w:r>
      <w:r w:rsidR="00C21374" w:rsidRPr="00922587">
        <w:rPr>
          <w:lang w:val="fr"/>
        </w:rPr>
        <w:t xml:space="preserve">anté pourraient envisager de : </w:t>
      </w:r>
      <w:r w:rsidRPr="00922587">
        <w:rPr>
          <w:lang w:val="fr"/>
        </w:rPr>
        <w:t>i) prendre note des avancées dans la rédaction du c</w:t>
      </w:r>
      <w:r w:rsidR="00C21374" w:rsidRPr="00922587">
        <w:rPr>
          <w:lang w:val="fr"/>
        </w:rPr>
        <w:t xml:space="preserve">adre législatif du Pacifique ; </w:t>
      </w:r>
      <w:r w:rsidRPr="00922587">
        <w:rPr>
          <w:lang w:val="fr"/>
        </w:rPr>
        <w:t xml:space="preserve">ii) examiner la structure et l'approche proposées de la version préliminaire du cadre en vue de valider cette approche et d'aller de l'avant avec l'élaboration du cadre ; et iii) soutenir l'élaboration du cadre législatif du Pacifique et prôner une implication multipartite lors des consultations aux plans à la fois régional et national. </w:t>
      </w:r>
    </w:p>
    <w:bookmarkEnd w:id="0"/>
    <w:bookmarkEnd w:id="1"/>
    <w:p w14:paraId="6011E4BA" w14:textId="77777777" w:rsidR="00274684" w:rsidRPr="00300E07" w:rsidRDefault="00BD60F7" w:rsidP="00FE6B67">
      <w:pPr>
        <w:pStyle w:val="Heading1"/>
        <w:rPr>
          <w:lang w:val="fr-FR"/>
        </w:rPr>
      </w:pPr>
      <w:r>
        <w:rPr>
          <w:lang w:val="fr"/>
        </w:rPr>
        <w:lastRenderedPageBreak/>
        <w:t xml:space="preserve">1.  CONTEXTE </w:t>
      </w:r>
    </w:p>
    <w:p w14:paraId="29808ACA" w14:textId="7102EF6F" w:rsidR="00E02E49" w:rsidRPr="00A348F9" w:rsidRDefault="00681ED6" w:rsidP="00163A00">
      <w:pPr>
        <w:spacing w:after="0"/>
        <w:ind w:right="57"/>
        <w:rPr>
          <w:rFonts w:cs="Times New Roman"/>
          <w:lang w:val="fr-FR"/>
        </w:rPr>
      </w:pPr>
      <w:r w:rsidRPr="00A348F9">
        <w:rPr>
          <w:rFonts w:cs="Times New Roman"/>
          <w:lang w:val="fr"/>
        </w:rPr>
        <w:t xml:space="preserve">Les mesures législatives constituent des </w:t>
      </w:r>
      <w:r w:rsidR="00C23B6A" w:rsidRPr="00A348F9">
        <w:rPr>
          <w:rFonts w:cs="Times New Roman"/>
          <w:lang w:val="fr"/>
        </w:rPr>
        <w:t>outils importants pour la lutte</w:t>
      </w:r>
      <w:r w:rsidR="0069169D" w:rsidRPr="00A348F9">
        <w:rPr>
          <w:rFonts w:cs="Times New Roman"/>
          <w:lang w:val="fr"/>
        </w:rPr>
        <w:t xml:space="preserve"> contre la crise des MNT en </w:t>
      </w:r>
      <w:r w:rsidRPr="00A348F9">
        <w:rPr>
          <w:rFonts w:cs="Times New Roman"/>
          <w:lang w:val="fr"/>
        </w:rPr>
        <w:t xml:space="preserve">Océanie. À l'heure où la plupart des </w:t>
      </w:r>
      <w:r w:rsidR="00B47F08" w:rsidRPr="00A348F9">
        <w:rPr>
          <w:rFonts w:cs="Times New Roman"/>
          <w:lang w:val="fr"/>
        </w:rPr>
        <w:t>États et Territoires insulaires du Pacifique</w:t>
      </w:r>
      <w:r w:rsidRPr="00A348F9">
        <w:rPr>
          <w:rFonts w:cs="Times New Roman"/>
          <w:lang w:val="fr"/>
        </w:rPr>
        <w:t xml:space="preserve"> disposent de certaines des principales lois et réglementations sur les MNT en place, ces lois demandent à être approfondies et/ou renforcées pour rester en phase avec les environnements et besoins qui évoluent</w:t>
      </w:r>
      <w:r w:rsidR="00051D08" w:rsidRPr="00A348F9">
        <w:rPr>
          <w:rFonts w:cs="Times New Roman"/>
          <w:lang w:val="fr"/>
        </w:rPr>
        <w:t>. Sur la base de ce constat, en </w:t>
      </w:r>
      <w:r w:rsidRPr="00A348F9">
        <w:rPr>
          <w:rFonts w:cs="Times New Roman"/>
          <w:lang w:val="fr"/>
        </w:rPr>
        <w:t>mars</w:t>
      </w:r>
      <w:r w:rsidR="00051D08" w:rsidRPr="00A348F9">
        <w:rPr>
          <w:rFonts w:cs="Times New Roman"/>
          <w:lang w:val="fr"/>
        </w:rPr>
        <w:t> </w:t>
      </w:r>
      <w:r w:rsidRPr="00A348F9">
        <w:rPr>
          <w:rFonts w:cs="Times New Roman"/>
          <w:lang w:val="fr"/>
        </w:rPr>
        <w:t>2017, les directeurs océaniens de la santé ont approuvé la recommandation du secrétariat de rédiger une note de synthèse en vue de l'élaboration d'un cadre législatif du Pacifique pour la lutte contre les MNT. La</w:t>
      </w:r>
      <w:r w:rsidR="00D24521" w:rsidRPr="00A348F9">
        <w:rPr>
          <w:rFonts w:cs="Times New Roman"/>
          <w:lang w:val="fr"/>
        </w:rPr>
        <w:t xml:space="preserve"> </w:t>
      </w:r>
      <w:hyperlink r:id="rId9" w:history="1">
        <w:r w:rsidRPr="00284C8F">
          <w:rPr>
            <w:rStyle w:val="Hyperlink"/>
            <w:rFonts w:cs="Times New Roman"/>
            <w:lang w:val="fr"/>
          </w:rPr>
          <w:t>note de synthèse</w:t>
        </w:r>
      </w:hyperlink>
      <w:r w:rsidRPr="00A348F9">
        <w:rPr>
          <w:rFonts w:cs="Times New Roman"/>
          <w:lang w:val="fr"/>
        </w:rPr>
        <w:t xml:space="preserve"> a été présentée et approuvée par les ministres de la santé des pays océaniens en</w:t>
      </w:r>
      <w:r w:rsidR="00051D08" w:rsidRPr="00A348F9">
        <w:rPr>
          <w:rFonts w:cs="Times New Roman"/>
          <w:lang w:val="fr"/>
        </w:rPr>
        <w:t> </w:t>
      </w:r>
      <w:r w:rsidRPr="00A348F9">
        <w:rPr>
          <w:rFonts w:cs="Times New Roman"/>
          <w:lang w:val="fr"/>
        </w:rPr>
        <w:t>août</w:t>
      </w:r>
      <w:r w:rsidR="00051D08" w:rsidRPr="00A348F9">
        <w:rPr>
          <w:rFonts w:cs="Times New Roman"/>
          <w:lang w:val="fr"/>
        </w:rPr>
        <w:t> </w:t>
      </w:r>
      <w:r w:rsidRPr="00A348F9">
        <w:rPr>
          <w:rFonts w:cs="Times New Roman"/>
          <w:lang w:val="fr"/>
        </w:rPr>
        <w:t>2017 (</w:t>
      </w:r>
      <w:hyperlink r:id="rId10" w:history="1">
        <w:r w:rsidRPr="00211997">
          <w:rPr>
            <w:rStyle w:val="Hyperlink"/>
            <w:rFonts w:cs="Times New Roman"/>
            <w:lang w:val="fr"/>
          </w:rPr>
          <w:t>PIC12/T4</w:t>
        </w:r>
      </w:hyperlink>
      <w:r w:rsidRPr="00A348F9">
        <w:rPr>
          <w:rFonts w:cs="Times New Roman"/>
          <w:lang w:val="fr"/>
        </w:rPr>
        <w:t>).</w:t>
      </w:r>
    </w:p>
    <w:p w14:paraId="43592B58" w14:textId="6330F1B3" w:rsidR="002103EC" w:rsidRPr="00D27EFE" w:rsidRDefault="001C2A6E" w:rsidP="00163A00">
      <w:pPr>
        <w:spacing w:after="0"/>
        <w:ind w:right="57"/>
        <w:rPr>
          <w:rFonts w:cs="Times New Roman"/>
          <w:lang w:val="fr-FR"/>
        </w:rPr>
      </w:pPr>
      <w:r w:rsidRPr="00D27EFE">
        <w:rPr>
          <w:rFonts w:cs="Times New Roman"/>
          <w:lang w:val="fr"/>
        </w:rPr>
        <w:t>En </w:t>
      </w:r>
      <w:r w:rsidR="006F4037" w:rsidRPr="00D27EFE">
        <w:rPr>
          <w:rFonts w:cs="Times New Roman"/>
          <w:lang w:val="fr"/>
        </w:rPr>
        <w:t>mars</w:t>
      </w:r>
      <w:r w:rsidRPr="00D27EFE">
        <w:rPr>
          <w:rFonts w:cs="Times New Roman"/>
          <w:lang w:val="fr"/>
        </w:rPr>
        <w:t> </w:t>
      </w:r>
      <w:r w:rsidR="006F4037" w:rsidRPr="00D27EFE">
        <w:rPr>
          <w:rFonts w:cs="Times New Roman"/>
          <w:lang w:val="fr"/>
        </w:rPr>
        <w:t>2018, trois options pour le cadre ont été présentées aux dire</w:t>
      </w:r>
      <w:r w:rsidR="00A4014B" w:rsidRPr="00D27EFE">
        <w:rPr>
          <w:rFonts w:cs="Times New Roman"/>
          <w:lang w:val="fr"/>
        </w:rPr>
        <w:t xml:space="preserve">cteurs océaniens de la santé : </w:t>
      </w:r>
      <w:r w:rsidR="006F4037" w:rsidRPr="00D27EFE">
        <w:rPr>
          <w:rFonts w:cs="Times New Roman"/>
          <w:lang w:val="fr"/>
        </w:rPr>
        <w:t>i) inclure l'ensemble des mesures jugées appropriées</w:t>
      </w:r>
      <w:r w:rsidR="00A4014B" w:rsidRPr="00D27EFE">
        <w:rPr>
          <w:rFonts w:cs="Times New Roman"/>
          <w:lang w:val="fr"/>
        </w:rPr>
        <w:t xml:space="preserve"> pour lutter contre les MNT ; </w:t>
      </w:r>
      <w:r w:rsidR="006F4037" w:rsidRPr="00D27EFE">
        <w:rPr>
          <w:rFonts w:cs="Times New Roman"/>
          <w:lang w:val="fr"/>
        </w:rPr>
        <w:t>ii) se concentrer sur les failles qui existent à l'heure actuelle et les aborder dans les mesure</w:t>
      </w:r>
      <w:r w:rsidR="00A4014B" w:rsidRPr="00D27EFE">
        <w:rPr>
          <w:rFonts w:cs="Times New Roman"/>
          <w:lang w:val="fr"/>
        </w:rPr>
        <w:t xml:space="preserve">s législatives existantes ; et </w:t>
      </w:r>
      <w:r w:rsidR="006F4037" w:rsidRPr="00D27EFE">
        <w:rPr>
          <w:rFonts w:cs="Times New Roman"/>
          <w:lang w:val="fr"/>
        </w:rPr>
        <w:t xml:space="preserve">iii) renforcer les pratiques et les mesures législatives actuelles. Les directeurs de la santé sont convenus que le secrétariat devrait poursuivre l'élaboration de l'option 1 en vue de </w:t>
      </w:r>
      <w:r w:rsidR="00A4014B" w:rsidRPr="00D27EFE">
        <w:rPr>
          <w:rFonts w:cs="Times New Roman"/>
          <w:lang w:val="fr"/>
        </w:rPr>
        <w:t>discussions</w:t>
      </w:r>
      <w:r w:rsidR="006F4037" w:rsidRPr="00D27EFE">
        <w:rPr>
          <w:rFonts w:cs="Times New Roman"/>
          <w:lang w:val="fr"/>
        </w:rPr>
        <w:t xml:space="preserve"> ultérieures </w:t>
      </w:r>
      <w:r w:rsidR="00010B15" w:rsidRPr="00D27EFE">
        <w:rPr>
          <w:rFonts w:cs="Times New Roman"/>
          <w:lang w:val="fr"/>
        </w:rPr>
        <w:t>En </w:t>
      </w:r>
      <w:r w:rsidR="006A6BE5" w:rsidRPr="00D27EFE">
        <w:rPr>
          <w:rFonts w:cs="Times New Roman"/>
          <w:lang w:val="fr"/>
        </w:rPr>
        <w:t>2</w:t>
      </w:r>
      <w:r w:rsidR="006F4037" w:rsidRPr="00D27EFE">
        <w:rPr>
          <w:rFonts w:cs="Times New Roman"/>
          <w:lang w:val="fr"/>
        </w:rPr>
        <w:t>019. Ils ont également suggéré l'adoption d'une approche par étapes, prenant note que les pays se trouvaient à différents stades en matière de lutte contre les MNT.</w:t>
      </w:r>
      <w:r w:rsidR="006F4037" w:rsidRPr="00D27EFE">
        <w:rPr>
          <w:rFonts w:cs="Times New Roman"/>
          <w:b/>
          <w:bCs/>
          <w:lang w:val="fr"/>
        </w:rPr>
        <w:t xml:space="preserve"> </w:t>
      </w:r>
      <w:r w:rsidR="006F4037" w:rsidRPr="00D27EFE">
        <w:rPr>
          <w:rFonts w:cs="Times New Roman"/>
          <w:lang w:val="fr"/>
        </w:rPr>
        <w:t xml:space="preserve"> </w:t>
      </w:r>
    </w:p>
    <w:p w14:paraId="4EE09F24" w14:textId="77777777" w:rsidR="009E0188" w:rsidRPr="00300E07" w:rsidRDefault="00BD60F7" w:rsidP="00FE6B67">
      <w:pPr>
        <w:pStyle w:val="Heading1"/>
        <w:rPr>
          <w:lang w:val="fr-FR"/>
        </w:rPr>
      </w:pPr>
      <w:r>
        <w:rPr>
          <w:lang w:val="fr"/>
        </w:rPr>
        <w:t xml:space="preserve">2.  PROGRÈS </w:t>
      </w:r>
    </w:p>
    <w:p w14:paraId="1A460F8F" w14:textId="77777777" w:rsidR="00565F92" w:rsidRPr="009B6BA5" w:rsidRDefault="00565F92" w:rsidP="00FE6B67">
      <w:pPr>
        <w:pStyle w:val="Heading2"/>
        <w:rPr>
          <w:b w:val="0"/>
          <w:bCs w:val="0"/>
          <w:lang w:val="fr-FR"/>
        </w:rPr>
      </w:pPr>
      <w:r w:rsidRPr="009B6BA5">
        <w:rPr>
          <w:lang w:val="fr"/>
        </w:rPr>
        <w:t xml:space="preserve">2.1 Examen de la politique législative et analyse    </w:t>
      </w:r>
    </w:p>
    <w:p w14:paraId="0CCF8E82" w14:textId="0D454004" w:rsidR="00FC3D21" w:rsidRPr="009B6BA5" w:rsidRDefault="00B7288C" w:rsidP="00FE6B67">
      <w:pPr>
        <w:rPr>
          <w:rFonts w:cs="Times New Roman"/>
          <w:lang w:val="fr-FR"/>
        </w:rPr>
      </w:pPr>
      <w:r w:rsidRPr="009B6BA5">
        <w:rPr>
          <w:lang w:val="fr"/>
        </w:rPr>
        <w:t>Depuis juillet</w:t>
      </w:r>
      <w:r w:rsidR="009A0714" w:rsidRPr="009B6BA5">
        <w:rPr>
          <w:lang w:val="fr"/>
        </w:rPr>
        <w:t> </w:t>
      </w:r>
      <w:r w:rsidRPr="009B6BA5">
        <w:rPr>
          <w:lang w:val="fr"/>
        </w:rPr>
        <w:t>2018, un consultant en rédaction législative a procédé à un examen et à une analyse de la politique législative. Les politiques, législations, cadres et documents stratégiques sur les MNT</w:t>
      </w:r>
      <w:r w:rsidRPr="009B6BA5">
        <w:rPr>
          <w:rStyle w:val="FootnoteReference"/>
          <w:rFonts w:cs="Times New Roman"/>
          <w:color w:val="000000"/>
          <w:lang w:val="fr"/>
        </w:rPr>
        <w:footnoteReference w:id="1"/>
      </w:r>
      <w:r w:rsidRPr="009B6BA5">
        <w:rPr>
          <w:lang w:val="fr"/>
        </w:rPr>
        <w:t>, aux plans mondial et régional, ont été évalués et analysés en vue d'élaborer un cadre législatif dans le contexte océanien.  Les politiques et législations nationales existantes sur les MNT ont été examinées, et les failles clés en matière de stratégie et de législation ont été identifiées en se référant au</w:t>
      </w:r>
      <w:r w:rsidR="009A0714" w:rsidRPr="009B6BA5">
        <w:rPr>
          <w:lang w:val="fr"/>
        </w:rPr>
        <w:t xml:space="preserve"> </w:t>
      </w:r>
      <w:r w:rsidRPr="009B6BA5">
        <w:rPr>
          <w:lang w:val="fr"/>
        </w:rPr>
        <w:t>Tableau de bord pour la lutte contre les maladies non transmissibles (MNT) élaboré par l’Alliance océanienne de surveillance pour la lutte contre les MNT (MANA).</w:t>
      </w:r>
    </w:p>
    <w:p w14:paraId="119AD57D" w14:textId="77777777" w:rsidR="00FC3D21" w:rsidRPr="009D006E" w:rsidRDefault="00FC3D21" w:rsidP="00FE6B67">
      <w:pPr>
        <w:pStyle w:val="Heading2"/>
        <w:rPr>
          <w:b w:val="0"/>
          <w:lang w:val="fr-FR"/>
        </w:rPr>
      </w:pPr>
      <w:r w:rsidRPr="009D006E">
        <w:rPr>
          <w:lang w:val="fr"/>
        </w:rPr>
        <w:lastRenderedPageBreak/>
        <w:t>2.2 Réunions consultatives</w:t>
      </w:r>
    </w:p>
    <w:p w14:paraId="7BFCE217" w14:textId="5D58FB9D" w:rsidR="001D51C8" w:rsidRPr="009D006E" w:rsidRDefault="00AF3F46" w:rsidP="00FE6B67">
      <w:pPr>
        <w:rPr>
          <w:lang w:val="fr-FR"/>
        </w:rPr>
      </w:pPr>
      <w:r w:rsidRPr="009D006E">
        <w:rPr>
          <w:lang w:val="fr"/>
        </w:rPr>
        <w:t xml:space="preserve">Des réunions consultatives se sont tenues avec des spécialistes issus des agences et institutions partenaires, y compris le Secrétariat du Commonwealth, le </w:t>
      </w:r>
      <w:r w:rsidRPr="009D006E">
        <w:rPr>
          <w:i/>
          <w:iCs/>
          <w:lang w:val="fr"/>
        </w:rPr>
        <w:t>McCabe Centre for Law and Cancer</w:t>
      </w:r>
      <w:r w:rsidRPr="009D006E">
        <w:rPr>
          <w:lang w:val="fr"/>
        </w:rPr>
        <w:t xml:space="preserve">, la Communauté du Pacifique (SPC), le Secrétariat du Forum des Îles du Pacifique, le Fonds des Nations unies pour l’enfance (UNICEF), l'Université d'Auckland, l'Université de Sydney et l'Organisation mondiale de la Santé (OMS). Enjeux, lacunes, faisabilité et portée des travaux du cadre proposé ont fait l'objet de discussions. </w:t>
      </w:r>
    </w:p>
    <w:p w14:paraId="2F7A89B6" w14:textId="7297C4E1" w:rsidR="00A4420C" w:rsidRPr="0045348F" w:rsidRDefault="00F85F5C" w:rsidP="00FE6B67">
      <w:pPr>
        <w:rPr>
          <w:rFonts w:eastAsia="Malgun Gothic"/>
          <w:bCs/>
          <w:lang w:val="fr-FR"/>
        </w:rPr>
      </w:pPr>
      <w:r w:rsidRPr="0045348F">
        <w:rPr>
          <w:lang w:val="fr"/>
        </w:rPr>
        <w:t>Le premier atelier con</w:t>
      </w:r>
      <w:r w:rsidR="008C682A" w:rsidRPr="0045348F">
        <w:rPr>
          <w:lang w:val="fr"/>
        </w:rPr>
        <w:t>sultatif régional s'est tenu en </w:t>
      </w:r>
      <w:r w:rsidRPr="0045348F">
        <w:rPr>
          <w:lang w:val="fr"/>
        </w:rPr>
        <w:t>mars</w:t>
      </w:r>
      <w:r w:rsidR="008C682A" w:rsidRPr="0045348F">
        <w:rPr>
          <w:lang w:val="fr"/>
        </w:rPr>
        <w:t> </w:t>
      </w:r>
      <w:r w:rsidRPr="0045348F">
        <w:rPr>
          <w:lang w:val="fr"/>
        </w:rPr>
        <w:t xml:space="preserve">2019 à Fidji réunissant des rédacteurs législatifs des </w:t>
      </w:r>
      <w:r w:rsidR="00B47F08" w:rsidRPr="0045348F">
        <w:rPr>
          <w:lang w:val="fr"/>
        </w:rPr>
        <w:t>États et Territoires insulaires du Pacifique</w:t>
      </w:r>
      <w:r w:rsidRPr="0045348F">
        <w:rPr>
          <w:lang w:val="fr"/>
        </w:rPr>
        <w:t xml:space="preserve"> et des experts en politiques de santé en matière de MNT des agences partenaires. L'objectif de cet atelier était de discuter du contenu, de la portée, de la structure et de l'approche en vue de l'élaboration du cadre législatif du Pacifique.</w:t>
      </w:r>
    </w:p>
    <w:p w14:paraId="0B01E09D" w14:textId="77777777" w:rsidR="001D51C8" w:rsidRPr="0045348F" w:rsidRDefault="00161243" w:rsidP="00FE6B67">
      <w:pPr>
        <w:pStyle w:val="Heading2"/>
        <w:rPr>
          <w:lang w:val="fr-FR"/>
        </w:rPr>
      </w:pPr>
      <w:r w:rsidRPr="0045348F">
        <w:rPr>
          <w:lang w:val="fr"/>
        </w:rPr>
        <w:t>2.3 Rédaction du cadre</w:t>
      </w:r>
    </w:p>
    <w:p w14:paraId="6212A42D" w14:textId="2C12D285" w:rsidR="001D51C8" w:rsidRPr="00F467BA" w:rsidRDefault="007C6F93" w:rsidP="00FE6B67">
      <w:pPr>
        <w:rPr>
          <w:lang w:val="fr-FR"/>
        </w:rPr>
      </w:pPr>
      <w:r w:rsidRPr="00F467BA">
        <w:rPr>
          <w:lang w:val="fr"/>
        </w:rPr>
        <w:t>Les contenus de la version préliminaire du cadre législatif du Pacifique couvriront les sujets d'introduction, le statut des textes législatifs sur les MNT (y compris les failles dans la législation et les priorités identifiées dans le Tableau de bord pour la lutte contre les MNT), et le cadre législatif portant sur les facteurs de risque clés sur les MNT, y compris le tabac (par exemple, l'emballage et l'étiquetage, l'interférence des professionnels du secteur), l'alcool (par exemple, la publicité, la promotion et le sponsoring de l'alcool), et les aliments et boissons nocifs pour la santé (par exemple, les taxes). Le cadre législatif du Pacifique comprend trois composantes clés, à savoir les politiques législatives, le plan législatif et la version préliminaire des dispositions législatives. (Une première version préliminaire est fournie en annexe.)</w:t>
      </w:r>
    </w:p>
    <w:p w14:paraId="00313495" w14:textId="4EE5A604" w:rsidR="00EB5BF9" w:rsidRPr="00DD5622" w:rsidRDefault="00E8429E" w:rsidP="00FE6B67">
      <w:pPr>
        <w:rPr>
          <w:lang w:val="fr-FR"/>
        </w:rPr>
      </w:pPr>
      <w:r w:rsidRPr="00DD5622">
        <w:rPr>
          <w:lang w:val="fr"/>
        </w:rPr>
        <w:t xml:space="preserve">Les </w:t>
      </w:r>
      <w:r w:rsidRPr="00DD5622">
        <w:rPr>
          <w:b/>
          <w:bCs/>
          <w:i/>
          <w:iCs/>
          <w:lang w:val="fr"/>
        </w:rPr>
        <w:t xml:space="preserve">politiques législatives </w:t>
      </w:r>
      <w:r w:rsidRPr="00DD5622">
        <w:rPr>
          <w:lang w:val="fr"/>
        </w:rPr>
        <w:t xml:space="preserve">établiront les principaux objectifs et les raisons qui sous-tendent les politiques pour orienter la </w:t>
      </w:r>
      <w:r w:rsidR="002E7232" w:rsidRPr="00DD5622">
        <w:rPr>
          <w:lang w:val="fr"/>
        </w:rPr>
        <w:t>mise en œuvre</w:t>
      </w:r>
      <w:r w:rsidR="00D24521" w:rsidRPr="00DD5622">
        <w:rPr>
          <w:lang w:val="fr"/>
        </w:rPr>
        <w:t xml:space="preserve"> </w:t>
      </w:r>
      <w:r w:rsidRPr="00DD5622">
        <w:rPr>
          <w:lang w:val="fr"/>
        </w:rPr>
        <w:t xml:space="preserve">du cadre législatif du Pacifique. Le </w:t>
      </w:r>
      <w:r w:rsidRPr="00DD5622">
        <w:rPr>
          <w:b/>
          <w:bCs/>
          <w:i/>
          <w:iCs/>
          <w:lang w:val="fr"/>
        </w:rPr>
        <w:t>plan législatif</w:t>
      </w:r>
      <w:r w:rsidRPr="00DD5622">
        <w:rPr>
          <w:lang w:val="fr"/>
        </w:rPr>
        <w:t xml:space="preserve"> correspond au cadre proposé ou aux plans qui ont guidé la rédaction des dispositions législatives, ce qui aidera les gouvernements à déterminer les </w:t>
      </w:r>
      <w:r w:rsidRPr="00DD5622">
        <w:rPr>
          <w:b/>
          <w:bCs/>
          <w:i/>
          <w:iCs/>
          <w:lang w:val="fr"/>
        </w:rPr>
        <w:t>dispositions législatives préliminaires</w:t>
      </w:r>
      <w:r w:rsidRPr="00DD5622">
        <w:rPr>
          <w:lang w:val="fr"/>
        </w:rPr>
        <w:t xml:space="preserve"> appropriées pour renforcer la prévention et le contrôle des MNT dans leurs pays respectifs. </w:t>
      </w:r>
    </w:p>
    <w:p w14:paraId="7ABAF09F" w14:textId="77777777" w:rsidR="002103EC" w:rsidRPr="00DD5622" w:rsidRDefault="000F5125" w:rsidP="00FE6B67">
      <w:pPr>
        <w:rPr>
          <w:lang w:val="fr-FR"/>
        </w:rPr>
      </w:pPr>
      <w:r w:rsidRPr="00DD5622">
        <w:rPr>
          <w:lang w:val="fr"/>
        </w:rPr>
        <w:t>Lors de l'atelier consultatif en mars 2019, les participants ont conclu que le cadre législatif du Pacifique pourrait devenir un guide ou une référence utile pour les pays. Les participants ont ajouté qu'à la suite de toute approbation au plan régional, les ministères de la santé introduiraient une approche nationale (par exemple, un note de synthèse sur la politique, une communication gouvernementale). Le cadre s'avèrerait une référence utile pour les rédacteurs législatifs une fois ce processus national enclenché.</w:t>
      </w:r>
    </w:p>
    <w:p w14:paraId="70AE0250" w14:textId="21675D3A" w:rsidR="00E2631E" w:rsidRPr="00300E07" w:rsidRDefault="00CA0B89" w:rsidP="00FE6B67">
      <w:pPr>
        <w:pStyle w:val="Heading1"/>
        <w:rPr>
          <w:lang w:val="fr-FR"/>
        </w:rPr>
      </w:pPr>
      <w:r>
        <w:rPr>
          <w:lang w:val="fr"/>
        </w:rPr>
        <w:t xml:space="preserve">3.  </w:t>
      </w:r>
      <w:r w:rsidR="006C793F">
        <w:rPr>
          <w:lang w:val="fr"/>
        </w:rPr>
        <w:t>D</w:t>
      </w:r>
      <w:r w:rsidR="006C793F">
        <w:rPr>
          <w:rFonts w:cs="Times New Roman"/>
          <w:lang w:val="fr"/>
        </w:rPr>
        <w:t>É</w:t>
      </w:r>
      <w:r w:rsidR="006C793F">
        <w:rPr>
          <w:lang w:val="fr"/>
        </w:rPr>
        <w:t>FIS</w:t>
      </w:r>
      <w:r>
        <w:rPr>
          <w:lang w:val="fr"/>
        </w:rPr>
        <w:t xml:space="preserve"> </w:t>
      </w:r>
    </w:p>
    <w:p w14:paraId="5E9BBDB5" w14:textId="77777777" w:rsidR="00AC27FD" w:rsidRPr="008A2C05" w:rsidRDefault="00AC27FD" w:rsidP="00FE6B67">
      <w:pPr>
        <w:pStyle w:val="Heading2"/>
        <w:rPr>
          <w:lang w:val="fr-FR"/>
        </w:rPr>
      </w:pPr>
      <w:r w:rsidRPr="008A2C05">
        <w:rPr>
          <w:lang w:val="fr"/>
        </w:rPr>
        <w:t>3.1 Consultation avec les parties prenantes</w:t>
      </w:r>
    </w:p>
    <w:p w14:paraId="17C9B255" w14:textId="7156578D" w:rsidR="00B46821" w:rsidRPr="008A2C05" w:rsidRDefault="00AC27FD" w:rsidP="00FE6B67">
      <w:pPr>
        <w:rPr>
          <w:lang w:val="fr-FR"/>
        </w:rPr>
      </w:pPr>
      <w:r w:rsidRPr="008A2C05">
        <w:rPr>
          <w:lang w:val="fr"/>
        </w:rPr>
        <w:t>Une collaboration multisectorielle et multipartite est nécessair</w:t>
      </w:r>
      <w:r w:rsidR="00AF4E8B" w:rsidRPr="008A2C05">
        <w:rPr>
          <w:lang w:val="fr"/>
        </w:rPr>
        <w:t>e pour lutter contre les MNT en</w:t>
      </w:r>
      <w:r w:rsidR="00DD5622">
        <w:rPr>
          <w:lang w:val="fr"/>
        </w:rPr>
        <w:t> </w:t>
      </w:r>
      <w:r w:rsidRPr="008A2C05">
        <w:rPr>
          <w:lang w:val="fr"/>
        </w:rPr>
        <w:t xml:space="preserve">Océanie. De ce fait, élaborer un cadre législatif du Pacifique complet sera un processus long, et certains aspects pourraient ne pas être acceptables à l'ensemble des zones et pays. Le processus exigera une consultation approfondie avec les parties prenantes dans tous les secteurs pertinents, à la fois aux plans régional et national. Étant donné que le processus d'élaboration du cadre (et la </w:t>
      </w:r>
      <w:r w:rsidR="002E7232" w:rsidRPr="008A2C05">
        <w:rPr>
          <w:lang w:val="fr"/>
        </w:rPr>
        <w:t>mise en œuvre</w:t>
      </w:r>
      <w:r w:rsidRPr="008A2C05">
        <w:rPr>
          <w:lang w:val="fr"/>
        </w:rPr>
        <w:t xml:space="preserve"> à un stade ultérieur) pourrait être long, </w:t>
      </w:r>
      <w:proofErr w:type="spellStart"/>
      <w:r w:rsidRPr="008A2C05">
        <w:rPr>
          <w:lang w:val="fr"/>
        </w:rPr>
        <w:t>obtenirun</w:t>
      </w:r>
      <w:proofErr w:type="spellEnd"/>
      <w:r w:rsidRPr="008A2C05">
        <w:rPr>
          <w:lang w:val="fr"/>
        </w:rPr>
        <w:t xml:space="preserve"> soutien financier pour permettre à ce travail de poursuivre sera également une difficulté. </w:t>
      </w:r>
    </w:p>
    <w:p w14:paraId="2FCB17BC" w14:textId="77777777" w:rsidR="00AC27FD" w:rsidRPr="000C6C63" w:rsidRDefault="00AC27FD" w:rsidP="00FE6B67">
      <w:pPr>
        <w:pStyle w:val="Heading2"/>
        <w:rPr>
          <w:lang w:val="fr-FR"/>
        </w:rPr>
      </w:pPr>
      <w:r w:rsidRPr="000C6C63">
        <w:rPr>
          <w:lang w:val="fr"/>
        </w:rPr>
        <w:t>3.2 Politique de lutte contre les MNT</w:t>
      </w:r>
    </w:p>
    <w:p w14:paraId="1D5A4B42" w14:textId="77777777" w:rsidR="0018051A" w:rsidRPr="000C6C63" w:rsidRDefault="00AA40F6" w:rsidP="00163A00">
      <w:pPr>
        <w:spacing w:before="120" w:after="0"/>
        <w:rPr>
          <w:rFonts w:cs="Times New Roman"/>
          <w:lang w:val="fr-FR"/>
        </w:rPr>
      </w:pPr>
      <w:r w:rsidRPr="000C6C63">
        <w:rPr>
          <w:rFonts w:cs="Times New Roman"/>
          <w:lang w:val="fr"/>
        </w:rPr>
        <w:t xml:space="preserve">Les directives sur la politique de lutte contre les MNT doivent être claires pour permettre des dispositions législatives bien rédigées. L'implication à la fois d'experts en politique de lutte contre les MNT et de spécialistes de la législation est également essentielle dans l'élaboration du cadre. </w:t>
      </w:r>
    </w:p>
    <w:p w14:paraId="2C05F327" w14:textId="77777777" w:rsidR="00AC27FD" w:rsidRPr="000C6C63" w:rsidRDefault="00AC27FD" w:rsidP="00FE6B67">
      <w:pPr>
        <w:pStyle w:val="Heading2"/>
        <w:rPr>
          <w:lang w:val="fr-FR"/>
        </w:rPr>
      </w:pPr>
      <w:r w:rsidRPr="000C6C63">
        <w:rPr>
          <w:lang w:val="fr"/>
        </w:rPr>
        <w:t>3.3 Capacité et expertise</w:t>
      </w:r>
    </w:p>
    <w:p w14:paraId="7B4DE047" w14:textId="66E368F1" w:rsidR="002103EC" w:rsidRPr="000C6C63" w:rsidRDefault="00A74BF4" w:rsidP="00163A00">
      <w:pPr>
        <w:spacing w:before="120" w:after="0"/>
        <w:rPr>
          <w:rFonts w:cs="Times New Roman"/>
          <w:lang w:val="fr"/>
        </w:rPr>
      </w:pPr>
      <w:r w:rsidRPr="000C6C63">
        <w:rPr>
          <w:rFonts w:cs="Times New Roman"/>
          <w:lang w:val="fr"/>
        </w:rPr>
        <w:t xml:space="preserve">Il a été prouvé qu'une politique et une législation de santé publique solides sont essentielles pour assurer un service de santé publique efficace. Toutefois, de nombreux </w:t>
      </w:r>
      <w:r w:rsidR="00B47F08" w:rsidRPr="000C6C63">
        <w:rPr>
          <w:rFonts w:cs="Times New Roman"/>
          <w:lang w:val="fr"/>
        </w:rPr>
        <w:t>États et Territoires insulaires du Pacifique</w:t>
      </w:r>
      <w:r w:rsidRPr="000C6C63">
        <w:rPr>
          <w:rFonts w:cs="Times New Roman"/>
          <w:lang w:val="fr"/>
        </w:rPr>
        <w:t xml:space="preserve"> disposent de capacités et d'une expertise </w:t>
      </w:r>
      <w:proofErr w:type="gramStart"/>
      <w:r w:rsidRPr="000C6C63">
        <w:rPr>
          <w:rFonts w:cs="Times New Roman"/>
          <w:lang w:val="fr"/>
        </w:rPr>
        <w:t>limitées</w:t>
      </w:r>
      <w:proofErr w:type="gramEnd"/>
      <w:r w:rsidRPr="000C6C63">
        <w:rPr>
          <w:rFonts w:cs="Times New Roman"/>
          <w:lang w:val="fr"/>
        </w:rPr>
        <w:t xml:space="preserve"> pour élaborer, mettre en place et faire appliquer les politiques et les textes législatifs recommandés pour faire avancer la lutte contre les MNT. La réglementation gouvernementale des MNT est multisectorielle, et différentes autorités gouvernmentales se trouvent confrontées à différentes législations relatives aux MNT. De ce fait, une approche gouvernementale intégrée est cruciale afin de renforcer l'utilisation du cadre une fois approuvé. Il faudrait également prendre en considération le niveau final de validation du cadre. </w:t>
      </w:r>
    </w:p>
    <w:p w14:paraId="050205BB" w14:textId="77777777" w:rsidR="008A2C05" w:rsidRPr="000C6C63" w:rsidRDefault="008A2C05" w:rsidP="00163A00">
      <w:pPr>
        <w:spacing w:before="120" w:after="0"/>
        <w:rPr>
          <w:rFonts w:cs="Times New Roman"/>
          <w:lang w:val="fr-FR"/>
        </w:rPr>
      </w:pPr>
    </w:p>
    <w:p w14:paraId="75A1FE13" w14:textId="77777777" w:rsidR="00CA0B89" w:rsidRPr="000C6C63" w:rsidRDefault="00CA0B89" w:rsidP="00FE6B67">
      <w:pPr>
        <w:spacing w:before="480"/>
        <w:jc w:val="center"/>
        <w:rPr>
          <w:rFonts w:eastAsia="Malgun Gothic" w:cs="Times New Roman"/>
          <w:b/>
          <w:bCs/>
          <w:lang w:val="fr-FR"/>
        </w:rPr>
      </w:pPr>
      <w:r w:rsidRPr="000C6C63">
        <w:rPr>
          <w:rFonts w:eastAsia="Malgun Gothic" w:cs="Times New Roman"/>
          <w:b/>
          <w:bCs/>
          <w:lang w:val="fr"/>
        </w:rPr>
        <w:t xml:space="preserve">4.  ORIENTATIONS FUTURES </w:t>
      </w:r>
    </w:p>
    <w:p w14:paraId="629D0986" w14:textId="30DAD257" w:rsidR="005111E0" w:rsidRPr="000C6C63" w:rsidRDefault="005111E0" w:rsidP="00FE6B67">
      <w:pPr>
        <w:rPr>
          <w:lang w:val="fr-FR"/>
        </w:rPr>
      </w:pPr>
      <w:r w:rsidRPr="000C6C63">
        <w:rPr>
          <w:lang w:val="fr"/>
        </w:rPr>
        <w:t>Le cadre législatif du Pacifique prop</w:t>
      </w:r>
      <w:r w:rsidR="00FD7C1E">
        <w:rPr>
          <w:lang w:val="fr"/>
        </w:rPr>
        <w:t>osé sera pris en charge par la R</w:t>
      </w:r>
      <w:r w:rsidRPr="000C6C63">
        <w:rPr>
          <w:lang w:val="fr"/>
        </w:rPr>
        <w:t>égion et orientera l'élaboration d'actions collectives pour s'</w:t>
      </w:r>
      <w:r w:rsidR="000C6C63" w:rsidRPr="000C6C63">
        <w:rPr>
          <w:lang w:val="fr"/>
        </w:rPr>
        <w:t>attaquer au problème des MNT en </w:t>
      </w:r>
      <w:r w:rsidRPr="000C6C63">
        <w:rPr>
          <w:lang w:val="fr"/>
        </w:rPr>
        <w:t xml:space="preserve">Océanie. Il permettra également d'accélérer la </w:t>
      </w:r>
      <w:r w:rsidR="002E7232" w:rsidRPr="000C6C63">
        <w:rPr>
          <w:lang w:val="fr"/>
        </w:rPr>
        <w:t>mise en œuvre</w:t>
      </w:r>
      <w:r w:rsidRPr="000C6C63">
        <w:rPr>
          <w:lang w:val="fr"/>
        </w:rPr>
        <w:t xml:space="preserve"> de la Feuille de route relative aux MNT en Océanie. À la suite de cette réunion, si la structure et l'approche proposées pour le cadre sont soutenues, le consultant en rédaction législative et le secrétariat travailleront plus avant avec les pays et les agences partenaires et mèneront d'autres consultations multipartites afin d'avancer sur l'élaboration du cadre. La version préliminaire du cadre législatif du Pacifique, une fois terminé, sera présenté aux réunions des directeurs de la santé et des ministres de la santé des pays océaniens pour approbation. Une fois approuvé, une analyse des lacunes pourra être menée afin de comparer les lois nationales en matière de lutte contre les MNT avec le cadre pour identifier les failles dans ces lois nationales auxquelles il faudra remédier au travers de réformes législatives nationales sur la question des MNT.</w:t>
      </w:r>
    </w:p>
    <w:p w14:paraId="3D8345CD" w14:textId="77777777" w:rsidR="008B1FBA" w:rsidRPr="00300E07" w:rsidRDefault="008B1FBA" w:rsidP="00FE6B67">
      <w:pPr>
        <w:pStyle w:val="Heading2"/>
        <w:rPr>
          <w:lang w:val="fr-FR"/>
        </w:rPr>
      </w:pPr>
      <w:r>
        <w:rPr>
          <w:lang w:val="fr"/>
        </w:rPr>
        <w:t>4.1 Recommandations à l'intention des pouvoirs publics</w:t>
      </w:r>
    </w:p>
    <w:p w14:paraId="7019A76E" w14:textId="77777777" w:rsidR="00B644D8" w:rsidRPr="00300E07" w:rsidRDefault="009C35FA" w:rsidP="00163A00">
      <w:pPr>
        <w:spacing w:before="120" w:after="0"/>
        <w:rPr>
          <w:rFonts w:eastAsia="Malgun Gothic" w:cs="Times New Roman"/>
          <w:bCs/>
          <w:lang w:val="fr-FR"/>
        </w:rPr>
      </w:pPr>
      <w:r>
        <w:rPr>
          <w:rFonts w:eastAsia="Malgun Gothic" w:cs="Times New Roman"/>
          <w:lang w:val="fr"/>
        </w:rPr>
        <w:t>Les ministres de la santé pourraient envisager de :</w:t>
      </w:r>
    </w:p>
    <w:p w14:paraId="23391EA0" w14:textId="77777777" w:rsidR="008B1FBA" w:rsidRPr="00FD7C1E" w:rsidRDefault="007C2EBC" w:rsidP="00FE6B67">
      <w:pPr>
        <w:pStyle w:val="ListParagraph"/>
        <w:numPr>
          <w:ilvl w:val="0"/>
          <w:numId w:val="31"/>
        </w:numPr>
        <w:rPr>
          <w:lang w:val="fr-FR"/>
        </w:rPr>
      </w:pPr>
      <w:r w:rsidRPr="00FD7C1E">
        <w:rPr>
          <w:lang w:val="fr"/>
        </w:rPr>
        <w:t>prendre note des progrès dans la rédaction du cadre législatif du Pacifique ;</w:t>
      </w:r>
    </w:p>
    <w:p w14:paraId="615896BF" w14:textId="77777777" w:rsidR="00742285" w:rsidRPr="00FD7C1E" w:rsidRDefault="007C2EBC" w:rsidP="00FE6B67">
      <w:pPr>
        <w:pStyle w:val="ListParagraph"/>
        <w:numPr>
          <w:ilvl w:val="0"/>
          <w:numId w:val="31"/>
        </w:numPr>
        <w:rPr>
          <w:lang w:val="fr-FR"/>
        </w:rPr>
      </w:pPr>
      <w:r w:rsidRPr="00FD7C1E">
        <w:rPr>
          <w:lang w:val="fr"/>
        </w:rPr>
        <w:t>examiner la structure et l'approche proposées du cadre législatif du Pacifique (voir annexe), en vue de les approuver, et passer à l'élaboration du cadre ; et</w:t>
      </w:r>
    </w:p>
    <w:p w14:paraId="1E9C0730" w14:textId="77777777" w:rsidR="00EE308A" w:rsidRPr="00FD7C1E" w:rsidRDefault="007C2EBC" w:rsidP="00FE6B67">
      <w:pPr>
        <w:pStyle w:val="ListParagraph"/>
        <w:numPr>
          <w:ilvl w:val="0"/>
          <w:numId w:val="31"/>
        </w:numPr>
        <w:rPr>
          <w:lang w:val="fr-FR"/>
        </w:rPr>
      </w:pPr>
      <w:r w:rsidRPr="00FD7C1E">
        <w:rPr>
          <w:lang w:val="fr"/>
        </w:rPr>
        <w:t xml:space="preserve">appuyer l'élaboration du cadre législatif du Pacifique et prôner une implication multipartite lors des consultations aux plans régional et national. </w:t>
      </w:r>
    </w:p>
    <w:p w14:paraId="62CC8232" w14:textId="77777777" w:rsidR="00BE1590" w:rsidRPr="00300E07" w:rsidRDefault="00203BF8" w:rsidP="00FE6B67">
      <w:pPr>
        <w:pStyle w:val="Heading2"/>
        <w:rPr>
          <w:b w:val="0"/>
          <w:bCs w:val="0"/>
          <w:lang w:val="fr-FR"/>
        </w:rPr>
      </w:pPr>
      <w:r>
        <w:rPr>
          <w:lang w:val="fr"/>
        </w:rPr>
        <w:t>4.2 Recommandations à l'intention des partenaires de développement</w:t>
      </w:r>
    </w:p>
    <w:p w14:paraId="5AAB961F" w14:textId="77777777" w:rsidR="00C63244" w:rsidRPr="00300E07" w:rsidRDefault="00C63244" w:rsidP="00163A00">
      <w:pPr>
        <w:spacing w:after="0"/>
        <w:rPr>
          <w:rFonts w:eastAsia="Calibri" w:cs="Times New Roman"/>
          <w:lang w:val="fr-FR"/>
        </w:rPr>
      </w:pPr>
      <w:r>
        <w:rPr>
          <w:rFonts w:eastAsia="Calibri" w:cs="Times New Roman"/>
          <w:lang w:val="fr"/>
        </w:rPr>
        <w:t>Les partenaires de développement pourraient envisager de :</w:t>
      </w:r>
    </w:p>
    <w:p w14:paraId="03AB1AED" w14:textId="77777777" w:rsidR="004D69D4" w:rsidRPr="00FD7C1E" w:rsidRDefault="007C2EBC" w:rsidP="00FE6B67">
      <w:pPr>
        <w:pStyle w:val="ListParagraph"/>
        <w:numPr>
          <w:ilvl w:val="0"/>
          <w:numId w:val="32"/>
        </w:numPr>
        <w:spacing w:after="0"/>
        <w:rPr>
          <w:rFonts w:eastAsia="Calibri" w:cs="Times New Roman"/>
          <w:lang w:val="fr-FR"/>
        </w:rPr>
      </w:pPr>
      <w:r w:rsidRPr="00FD7C1E">
        <w:rPr>
          <w:rFonts w:eastAsia="Calibri" w:cs="Times New Roman"/>
          <w:lang w:val="fr"/>
        </w:rPr>
        <w:t>apporter un appui et des ressources supplémentaires pour la rédaction et la finalisation du cadre législatif du Pacifique proposé ; et</w:t>
      </w:r>
    </w:p>
    <w:p w14:paraId="5634ACA5" w14:textId="77777777" w:rsidR="00C63244" w:rsidRPr="00FD7C1E" w:rsidRDefault="007C2EBC" w:rsidP="00FE6B67">
      <w:pPr>
        <w:pStyle w:val="ListParagraph"/>
        <w:numPr>
          <w:ilvl w:val="0"/>
          <w:numId w:val="32"/>
        </w:numPr>
        <w:spacing w:after="0"/>
        <w:rPr>
          <w:rFonts w:eastAsia="Calibri" w:cs="Times New Roman"/>
          <w:lang w:val="fr-FR"/>
        </w:rPr>
      </w:pPr>
      <w:r w:rsidRPr="00FD7C1E">
        <w:rPr>
          <w:rFonts w:eastAsia="Calibri" w:cs="Times New Roman"/>
          <w:lang w:val="fr"/>
        </w:rPr>
        <w:t xml:space="preserve">prôner et sensibiliser les progrès accomplis dans la rédaction du cadre législatif du Pacifique aux plans national, régional et international.  </w:t>
      </w:r>
    </w:p>
    <w:p w14:paraId="3DD018C6" w14:textId="77777777" w:rsidR="00C63244" w:rsidRPr="00300E07" w:rsidRDefault="00C63244" w:rsidP="00296A29">
      <w:pPr>
        <w:spacing w:after="0" w:line="240" w:lineRule="auto"/>
        <w:ind w:left="284"/>
        <w:rPr>
          <w:rFonts w:eastAsia="Calibri" w:cs="Times New Roman"/>
          <w:highlight w:val="yellow"/>
          <w:lang w:val="fr-FR"/>
        </w:rPr>
      </w:pPr>
    </w:p>
    <w:p w14:paraId="73532DCE" w14:textId="77777777" w:rsidR="00B644D8" w:rsidRPr="00300E07" w:rsidRDefault="00B644D8" w:rsidP="00296A29">
      <w:pPr>
        <w:spacing w:before="120" w:after="0" w:line="240" w:lineRule="auto"/>
        <w:rPr>
          <w:rFonts w:eastAsia="Malgun Gothic" w:cs="Times New Roman"/>
          <w:bCs/>
          <w:highlight w:val="yellow"/>
          <w:lang w:val="fr-FR"/>
        </w:rPr>
      </w:pPr>
    </w:p>
    <w:p w14:paraId="59113BC9" w14:textId="77777777" w:rsidR="00C44F67" w:rsidRPr="00300E07" w:rsidRDefault="00C44F67">
      <w:pPr>
        <w:rPr>
          <w:rFonts w:eastAsia="Malgun Gothic" w:cs="Times New Roman"/>
          <w:b/>
          <w:bCs/>
          <w:highlight w:val="yellow"/>
          <w:lang w:val="fr-FR"/>
        </w:rPr>
      </w:pPr>
      <w:r>
        <w:rPr>
          <w:rFonts w:eastAsia="Malgun Gothic" w:cs="Times New Roman"/>
          <w:b/>
          <w:bCs/>
          <w:highlight w:val="yellow"/>
          <w:lang w:val="fr"/>
        </w:rPr>
        <w:br w:type="page"/>
      </w:r>
    </w:p>
    <w:p w14:paraId="052F62EB" w14:textId="77777777" w:rsidR="00571C51" w:rsidRPr="00825041" w:rsidRDefault="00A2798C" w:rsidP="007306C7">
      <w:pPr>
        <w:pStyle w:val="Style1"/>
        <w:spacing w:after="120"/>
        <w:jc w:val="center"/>
        <w:rPr>
          <w:rFonts w:ascii="Times New Roman" w:hAnsi="Times New Roman"/>
          <w:b/>
          <w:sz w:val="22"/>
          <w:szCs w:val="22"/>
          <w:lang w:val="fr-FR"/>
        </w:rPr>
      </w:pPr>
      <w:r w:rsidRPr="00825041">
        <w:rPr>
          <w:rFonts w:ascii="Times New Roman" w:hAnsi="Times New Roman"/>
          <w:b/>
          <w:bCs/>
          <w:color w:val="000000" w:themeColor="text1"/>
          <w:sz w:val="22"/>
          <w:szCs w:val="22"/>
          <w:lang w:val="fr"/>
        </w:rPr>
        <w:t>ANNEXE</w:t>
      </w:r>
    </w:p>
    <w:p w14:paraId="05F27D22" w14:textId="77777777" w:rsidR="00A2798C" w:rsidRPr="00825041" w:rsidRDefault="004A0C50" w:rsidP="007306C7">
      <w:pPr>
        <w:pStyle w:val="Style1"/>
        <w:spacing w:after="120"/>
        <w:jc w:val="center"/>
        <w:rPr>
          <w:rFonts w:ascii="Times New Roman" w:hAnsi="Times New Roman"/>
          <w:b/>
          <w:sz w:val="22"/>
          <w:szCs w:val="22"/>
          <w:lang w:val="fr-FR"/>
        </w:rPr>
      </w:pPr>
      <w:r w:rsidRPr="00825041">
        <w:rPr>
          <w:rFonts w:ascii="Times New Roman" w:hAnsi="Times New Roman"/>
          <w:b/>
          <w:bCs/>
          <w:sz w:val="22"/>
          <w:szCs w:val="22"/>
          <w:lang w:val="fr"/>
        </w:rPr>
        <w:t xml:space="preserve">VERSION PRÉLIMINAIRE DU CADRE LÉGISLATIF DU PACIFIQUE </w:t>
      </w:r>
      <w:r w:rsidRPr="00825041">
        <w:rPr>
          <w:rFonts w:ascii="Times New Roman" w:hAnsi="Times New Roman"/>
          <w:sz w:val="22"/>
          <w:szCs w:val="22"/>
          <w:lang w:val="fr"/>
        </w:rPr>
        <w:br/>
      </w:r>
      <w:r w:rsidRPr="00825041">
        <w:rPr>
          <w:rFonts w:ascii="Times New Roman" w:hAnsi="Times New Roman"/>
          <w:b/>
          <w:bCs/>
          <w:sz w:val="22"/>
          <w:szCs w:val="22"/>
          <w:lang w:val="fr"/>
        </w:rPr>
        <w:t>POUR LA LUTTE CONTRE LES MALADIES NON TRANSMISSIBLES : STRUCTURE ET APPROCHE</w:t>
      </w:r>
    </w:p>
    <w:p w14:paraId="42B737D3" w14:textId="77777777" w:rsidR="004F1DBF" w:rsidRPr="00825041" w:rsidRDefault="004F1DBF" w:rsidP="006F3982">
      <w:pPr>
        <w:spacing w:after="60" w:line="240" w:lineRule="exact"/>
        <w:rPr>
          <w:rFonts w:eastAsiaTheme="majorEastAsia" w:cs="Times New Roman"/>
          <w:color w:val="000000"/>
          <w:lang w:val="fr-FR"/>
        </w:rPr>
      </w:pPr>
    </w:p>
    <w:p w14:paraId="09E57585" w14:textId="77777777" w:rsidR="006F3982" w:rsidRPr="00825041" w:rsidRDefault="006F3982" w:rsidP="00FE6B67">
      <w:pPr>
        <w:spacing w:after="60" w:line="276" w:lineRule="auto"/>
        <w:rPr>
          <w:rFonts w:eastAsiaTheme="majorEastAsia" w:cs="Times New Roman"/>
          <w:color w:val="000000"/>
          <w:lang w:val="fr-FR"/>
        </w:rPr>
      </w:pPr>
      <w:r w:rsidRPr="00825041">
        <w:rPr>
          <w:rFonts w:eastAsiaTheme="majorEastAsia" w:cs="Times New Roman"/>
          <w:color w:val="000000"/>
          <w:lang w:val="fr"/>
        </w:rPr>
        <w:t>Cette annexe présente les grandes lignes et l'approche actuelles du cadre législatif du Pacifique pour la lutte contre les maladies non transmissibles (MNT), à l'heure où son élaboration progresse, en prenant en compte :</w:t>
      </w:r>
    </w:p>
    <w:p w14:paraId="42DA16F4" w14:textId="77777777" w:rsidR="006F3982" w:rsidRPr="00825041" w:rsidRDefault="004F1DBF" w:rsidP="00FE6B67">
      <w:pPr>
        <w:numPr>
          <w:ilvl w:val="0"/>
          <w:numId w:val="13"/>
        </w:numPr>
        <w:spacing w:after="60" w:line="276" w:lineRule="auto"/>
        <w:rPr>
          <w:rFonts w:eastAsiaTheme="majorEastAsia" w:cs="Times New Roman"/>
          <w:color w:val="000000"/>
          <w:lang w:val="fr-FR"/>
        </w:rPr>
      </w:pPr>
      <w:r w:rsidRPr="00825041">
        <w:rPr>
          <w:rFonts w:eastAsiaTheme="majorEastAsia" w:cs="Times New Roman"/>
          <w:color w:val="000000"/>
          <w:lang w:val="fr"/>
        </w:rPr>
        <w:t>les examens et l'analyse des politiques législatives menées ;</w:t>
      </w:r>
    </w:p>
    <w:p w14:paraId="43AF6BDA" w14:textId="77777777" w:rsidR="006F3982" w:rsidRPr="00825041" w:rsidRDefault="004F1DBF" w:rsidP="00FE6B67">
      <w:pPr>
        <w:numPr>
          <w:ilvl w:val="0"/>
          <w:numId w:val="13"/>
        </w:numPr>
        <w:spacing w:after="60" w:line="276" w:lineRule="auto"/>
        <w:rPr>
          <w:rFonts w:eastAsia="Times New Roman" w:cs="Times New Roman"/>
          <w:b/>
          <w:lang w:val="fr-FR"/>
        </w:rPr>
      </w:pPr>
      <w:r w:rsidRPr="00825041">
        <w:rPr>
          <w:rFonts w:eastAsiaTheme="majorEastAsia" w:cs="Times New Roman"/>
          <w:color w:val="000000"/>
          <w:lang w:val="fr"/>
        </w:rPr>
        <w:t>le retour d'information suite aux consultations initiales avec les agences partenaires et les institutions universitaires ; et</w:t>
      </w:r>
    </w:p>
    <w:p w14:paraId="3BC96289" w14:textId="093F7ED3" w:rsidR="006F3982" w:rsidRPr="00825041" w:rsidRDefault="004F1DBF" w:rsidP="00FE6B67">
      <w:pPr>
        <w:numPr>
          <w:ilvl w:val="0"/>
          <w:numId w:val="13"/>
        </w:numPr>
        <w:spacing w:after="60" w:line="276" w:lineRule="auto"/>
        <w:rPr>
          <w:rFonts w:eastAsia="Times New Roman" w:cs="Times New Roman"/>
          <w:b/>
          <w:lang w:val="fr-FR"/>
        </w:rPr>
      </w:pPr>
      <w:r w:rsidRPr="00825041">
        <w:rPr>
          <w:rFonts w:eastAsia="Malgun Gothic" w:cs="Times New Roman"/>
          <w:lang w:val="fr"/>
        </w:rPr>
        <w:t xml:space="preserve">le retour d'information à la suite du premier atelier consultatif en mars 2019 avec les rédacteurs législatifs des </w:t>
      </w:r>
      <w:r w:rsidR="00B47F08" w:rsidRPr="00825041">
        <w:rPr>
          <w:rFonts w:eastAsia="Malgun Gothic" w:cs="Times New Roman"/>
          <w:lang w:val="fr"/>
        </w:rPr>
        <w:t>États et Territoires insulaires du Pacifique</w:t>
      </w:r>
      <w:r w:rsidRPr="00825041">
        <w:rPr>
          <w:rFonts w:eastAsia="Malgun Gothic" w:cs="Times New Roman"/>
          <w:lang w:val="fr"/>
        </w:rPr>
        <w:t xml:space="preserve"> et des experts en politique de lutte contre les MNT issus des agences partenaires. </w:t>
      </w:r>
    </w:p>
    <w:p w14:paraId="37D60187" w14:textId="77777777" w:rsidR="006F3982" w:rsidRPr="00825041" w:rsidRDefault="006F3982" w:rsidP="00FE6B67">
      <w:pPr>
        <w:spacing w:after="120" w:line="276" w:lineRule="auto"/>
        <w:rPr>
          <w:rFonts w:eastAsia="Times New Roman" w:cs="Times New Roman"/>
          <w:lang w:val="fr-FR"/>
        </w:rPr>
      </w:pPr>
      <w:r w:rsidRPr="00825041">
        <w:rPr>
          <w:rFonts w:eastAsia="Times New Roman" w:cs="Times New Roman"/>
          <w:b/>
          <w:bCs/>
          <w:lang w:val="fr"/>
        </w:rPr>
        <w:t>GRANDES LIGNES DE LA VERSION PRÉLIMINAIRE  DU CADRE LÉGISLATIF DU PACIFIQUE POUR LA LUTTE CONTRE LES MNT</w:t>
      </w:r>
    </w:p>
    <w:p w14:paraId="28057721" w14:textId="77777777" w:rsidR="006F3982" w:rsidRPr="00825041" w:rsidRDefault="00792574" w:rsidP="00FE6B67">
      <w:pPr>
        <w:numPr>
          <w:ilvl w:val="0"/>
          <w:numId w:val="14"/>
        </w:numPr>
        <w:spacing w:after="60" w:line="276" w:lineRule="auto"/>
        <w:rPr>
          <w:rFonts w:eastAsia="Times New Roman" w:cs="Times New Roman"/>
          <w:b/>
        </w:rPr>
      </w:pPr>
      <w:r w:rsidRPr="00825041">
        <w:rPr>
          <w:rFonts w:eastAsia="Times New Roman" w:cs="Times New Roman"/>
          <w:b/>
          <w:bCs/>
          <w:lang w:val="fr"/>
        </w:rPr>
        <w:t>Avant-propos</w:t>
      </w:r>
    </w:p>
    <w:p w14:paraId="74B7F3B8" w14:textId="77777777" w:rsidR="00D70892" w:rsidRPr="00825041" w:rsidRDefault="006F3982" w:rsidP="00FE6B67">
      <w:pPr>
        <w:spacing w:after="60" w:line="276" w:lineRule="auto"/>
        <w:ind w:left="720"/>
        <w:rPr>
          <w:rFonts w:eastAsia="Times New Roman" w:cs="Times New Roman"/>
          <w:lang w:val="fr-FR"/>
        </w:rPr>
      </w:pPr>
      <w:r w:rsidRPr="00825041">
        <w:rPr>
          <w:rFonts w:eastAsia="Times New Roman" w:cs="Times New Roman"/>
          <w:lang w:val="fr"/>
        </w:rPr>
        <w:t xml:space="preserve">Cette partie propose un avant-propos, y compris une courte synthèse des initiatives et recommandations des directeurs de la santé et des ministres de la santé des pays océaniens en vue de l'élaboration du cadre. </w:t>
      </w:r>
    </w:p>
    <w:p w14:paraId="500DC5AA" w14:textId="77777777" w:rsidR="006F3982" w:rsidRPr="00825041" w:rsidRDefault="006F3982" w:rsidP="00FE6B67">
      <w:pPr>
        <w:numPr>
          <w:ilvl w:val="0"/>
          <w:numId w:val="15"/>
        </w:numPr>
        <w:spacing w:after="60" w:line="276" w:lineRule="auto"/>
        <w:rPr>
          <w:rFonts w:eastAsia="Times New Roman" w:cs="Times New Roman"/>
          <w:b/>
        </w:rPr>
      </w:pPr>
      <w:r w:rsidRPr="00825041">
        <w:rPr>
          <w:rFonts w:eastAsia="Times New Roman" w:cs="Times New Roman"/>
          <w:b/>
          <w:bCs/>
          <w:lang w:val="fr"/>
        </w:rPr>
        <w:t>Part I – Introduction</w:t>
      </w:r>
    </w:p>
    <w:p w14:paraId="3B64F349" w14:textId="77777777" w:rsidR="00D70892" w:rsidRPr="00825041" w:rsidRDefault="006F3982" w:rsidP="00FE6B67">
      <w:pPr>
        <w:spacing w:after="60" w:line="276" w:lineRule="auto"/>
        <w:ind w:left="720"/>
        <w:rPr>
          <w:rFonts w:eastAsia="Times New Roman" w:cs="Times New Roman"/>
          <w:lang w:val="fr-FR"/>
        </w:rPr>
      </w:pPr>
      <w:r w:rsidRPr="00825041">
        <w:rPr>
          <w:rFonts w:eastAsia="Times New Roman" w:cs="Times New Roman"/>
          <w:lang w:val="fr"/>
        </w:rPr>
        <w:t>Cette partie fournit un descriptif général du cadre ; les raisons et objectifs ; le but et l'usage du cadre ; le public ciblé ; les liens avec d'autres stratégies régionales clés et outils de suivi, y compris la Feuille de route relative aux MNT en Océanie, le concept d'îles-santé, l’Alliance océanienne de surveillance pour la lutte contre les MNT (MANA) et la Convention–cadre de l’Organisation mondiale de la Santé pour la lutte antitabac (OMS FCTC).</w:t>
      </w:r>
    </w:p>
    <w:p w14:paraId="2AD5F9E8" w14:textId="77777777" w:rsidR="006F3982" w:rsidRPr="00825041" w:rsidRDefault="006F3982" w:rsidP="00FE6B67">
      <w:pPr>
        <w:numPr>
          <w:ilvl w:val="0"/>
          <w:numId w:val="16"/>
        </w:numPr>
        <w:spacing w:after="60" w:line="276" w:lineRule="auto"/>
        <w:rPr>
          <w:rFonts w:eastAsia="Times New Roman" w:cs="Times New Roman"/>
          <w:b/>
          <w:lang w:val="fr-FR"/>
        </w:rPr>
      </w:pPr>
      <w:r w:rsidRPr="00825041">
        <w:rPr>
          <w:rFonts w:eastAsia="Times New Roman" w:cs="Times New Roman"/>
          <w:b/>
          <w:bCs/>
          <w:lang w:val="fr"/>
        </w:rPr>
        <w:t>Part II – Législations en lien avec les MNT</w:t>
      </w:r>
    </w:p>
    <w:p w14:paraId="6DE11092" w14:textId="77777777" w:rsidR="00D70892" w:rsidRPr="00825041" w:rsidRDefault="006F3982" w:rsidP="00FE6B67">
      <w:pPr>
        <w:spacing w:after="60" w:line="276" w:lineRule="auto"/>
        <w:ind w:left="720"/>
        <w:rPr>
          <w:rFonts w:eastAsia="Times New Roman" w:cs="Times New Roman"/>
          <w:lang w:val="fr-FR"/>
        </w:rPr>
      </w:pPr>
      <w:r w:rsidRPr="00825041">
        <w:rPr>
          <w:rFonts w:eastAsia="Times New Roman" w:cs="Times New Roman"/>
          <w:lang w:val="fr"/>
        </w:rPr>
        <w:t>Cette partie apporte une analyse détaillée du statut des législations et politiques relatives aux MNT dans les pays, y compris les failles et les priorités en matière de législation identifiées dans les tableaux de bord de MANA Océanie.</w:t>
      </w:r>
    </w:p>
    <w:p w14:paraId="6E45A254" w14:textId="77777777" w:rsidR="006F3982" w:rsidRPr="00825041" w:rsidRDefault="006F3982" w:rsidP="00FE6B67">
      <w:pPr>
        <w:numPr>
          <w:ilvl w:val="0"/>
          <w:numId w:val="18"/>
        </w:numPr>
        <w:spacing w:after="60" w:line="276" w:lineRule="auto"/>
        <w:rPr>
          <w:rFonts w:eastAsia="Times New Roman" w:cs="Times New Roman"/>
          <w:b/>
        </w:rPr>
      </w:pPr>
      <w:r w:rsidRPr="00825041">
        <w:rPr>
          <w:rFonts w:eastAsia="Times New Roman" w:cs="Times New Roman"/>
          <w:b/>
          <w:bCs/>
          <w:lang w:val="fr"/>
        </w:rPr>
        <w:t xml:space="preserve">Part III – Cadre proposé </w:t>
      </w:r>
    </w:p>
    <w:p w14:paraId="007162EF" w14:textId="10D8DBE1" w:rsidR="00D70892" w:rsidRPr="00825041" w:rsidRDefault="00D70892" w:rsidP="00FE6B67">
      <w:pPr>
        <w:spacing w:after="60" w:line="276" w:lineRule="auto"/>
        <w:ind w:left="720"/>
        <w:rPr>
          <w:rFonts w:eastAsia="Times New Roman" w:cs="Times New Roman"/>
          <w:lang w:val="fr-FR"/>
        </w:rPr>
      </w:pPr>
      <w:r w:rsidRPr="00825041">
        <w:rPr>
          <w:rFonts w:eastAsia="Times New Roman" w:cs="Times New Roman"/>
          <w:lang w:val="fr"/>
        </w:rPr>
        <w:t>Cette partie traite des facteurs de risque clés des MNT, parmi lesquels l'usage du tabac (par exemple, l'emballage et l'étiquetage, l'interférence des professionnels du secteur), l'usage nocif de l'alcool (par exemple, les publicités en faveur de la consommation d'alcool, la promotion et le sponsoring), les aliments et boissons malsains (par exemple, le gras trans dans l'approvisionnement alimentaire, les substituts de lait maternel) et les taxes sur les produits malsains. Elle définira les principaux domaines de réformes, qui seront divisés en trois grandes composantes, à savoir : 1) politiques législatives, 2) plan législatif, et 3) dispositions législatives.</w:t>
      </w:r>
      <w:r w:rsidRPr="00825041">
        <w:rPr>
          <w:rFonts w:eastAsia="Times New Roman" w:cs="Times New Roman"/>
          <w:b/>
          <w:bCs/>
          <w:i/>
          <w:iCs/>
          <w:lang w:val="fr"/>
        </w:rPr>
        <w:t xml:space="preserve"> </w:t>
      </w:r>
      <w:r w:rsidRPr="00825041">
        <w:rPr>
          <w:rFonts w:eastAsia="Times New Roman" w:cs="Times New Roman"/>
          <w:lang w:val="fr"/>
        </w:rPr>
        <w:t xml:space="preserve">Les politiques législatives définiront l'objectif principal et les raisons ou la base des politiques afin de guider les pays lors de la </w:t>
      </w:r>
      <w:r w:rsidR="002E7232" w:rsidRPr="00825041">
        <w:rPr>
          <w:rFonts w:eastAsia="Times New Roman" w:cs="Times New Roman"/>
          <w:lang w:val="fr"/>
        </w:rPr>
        <w:t>mise en œuvre</w:t>
      </w:r>
      <w:r w:rsidRPr="00825041">
        <w:rPr>
          <w:rFonts w:eastAsia="Times New Roman" w:cs="Times New Roman"/>
          <w:lang w:val="fr"/>
        </w:rPr>
        <w:t xml:space="preserve"> du cadre. Le plan législatif présentera les plans proposés ou les grandes lignes de la version préliminaire des dispositions législatives.</w:t>
      </w:r>
    </w:p>
    <w:p w14:paraId="18ED2C64" w14:textId="1884991F" w:rsidR="006F3982" w:rsidRPr="00825041" w:rsidRDefault="006F3982" w:rsidP="00FE6B67">
      <w:pPr>
        <w:numPr>
          <w:ilvl w:val="0"/>
          <w:numId w:val="17"/>
        </w:numPr>
        <w:spacing w:after="60" w:line="276" w:lineRule="auto"/>
        <w:rPr>
          <w:rFonts w:eastAsia="Times New Roman" w:cs="Times New Roman"/>
          <w:b/>
          <w:lang w:val="fr-FR"/>
        </w:rPr>
      </w:pPr>
      <w:r w:rsidRPr="00825041">
        <w:rPr>
          <w:rFonts w:eastAsia="Times New Roman" w:cs="Times New Roman"/>
          <w:b/>
          <w:bCs/>
          <w:lang w:val="fr"/>
        </w:rPr>
        <w:t xml:space="preserve">Part IV – </w:t>
      </w:r>
      <w:r w:rsidR="002E7232" w:rsidRPr="00825041">
        <w:rPr>
          <w:rFonts w:eastAsia="Times New Roman" w:cs="Times New Roman"/>
          <w:b/>
          <w:bCs/>
          <w:lang w:val="fr"/>
        </w:rPr>
        <w:t>Mise en œuvre</w:t>
      </w:r>
    </w:p>
    <w:p w14:paraId="5DCCA955" w14:textId="3CEE3DC0" w:rsidR="00B22D43" w:rsidRPr="00825041" w:rsidRDefault="006F3982" w:rsidP="00FE6B67">
      <w:pPr>
        <w:spacing w:after="60" w:line="276" w:lineRule="auto"/>
        <w:ind w:left="720"/>
        <w:rPr>
          <w:rFonts w:eastAsia="Times New Roman" w:cs="Times New Roman"/>
          <w:lang w:val="fr-FR"/>
        </w:rPr>
      </w:pPr>
      <w:r w:rsidRPr="00825041">
        <w:rPr>
          <w:rFonts w:eastAsia="Times New Roman" w:cs="Times New Roman"/>
          <w:lang w:val="fr"/>
        </w:rPr>
        <w:t xml:space="preserve">Cette partie explique le processus et les étapes de la </w:t>
      </w:r>
      <w:r w:rsidR="002E7232" w:rsidRPr="00825041">
        <w:rPr>
          <w:rFonts w:eastAsia="Times New Roman" w:cs="Times New Roman"/>
          <w:lang w:val="fr"/>
        </w:rPr>
        <w:t>mise en œuvre</w:t>
      </w:r>
      <w:r w:rsidRPr="00825041">
        <w:rPr>
          <w:rFonts w:eastAsia="Times New Roman" w:cs="Times New Roman"/>
          <w:lang w:val="fr"/>
        </w:rPr>
        <w:t xml:space="preserve"> du cadre. Elle couvrira les consultations, l'approbation et la </w:t>
      </w:r>
      <w:r w:rsidR="002E7232" w:rsidRPr="00825041">
        <w:rPr>
          <w:rFonts w:eastAsia="Times New Roman" w:cs="Times New Roman"/>
          <w:lang w:val="fr"/>
        </w:rPr>
        <w:t>mise en œuvre</w:t>
      </w:r>
      <w:r w:rsidRPr="00825041">
        <w:rPr>
          <w:rFonts w:eastAsia="Times New Roman" w:cs="Times New Roman"/>
          <w:lang w:val="fr"/>
        </w:rPr>
        <w:t xml:space="preserve"> aux niveaux régional et national.</w:t>
      </w:r>
    </w:p>
    <w:p w14:paraId="0F88FF48" w14:textId="77777777" w:rsidR="006F3982" w:rsidRPr="00825041" w:rsidRDefault="006F3982" w:rsidP="00FE6B67">
      <w:pPr>
        <w:numPr>
          <w:ilvl w:val="0"/>
          <w:numId w:val="19"/>
        </w:numPr>
        <w:spacing w:after="60" w:line="276" w:lineRule="auto"/>
        <w:rPr>
          <w:rFonts w:eastAsia="Times New Roman" w:cs="Times New Roman"/>
          <w:b/>
        </w:rPr>
      </w:pPr>
      <w:r w:rsidRPr="00825041">
        <w:rPr>
          <w:rFonts w:eastAsia="Times New Roman" w:cs="Times New Roman"/>
          <w:b/>
          <w:bCs/>
          <w:lang w:val="fr"/>
        </w:rPr>
        <w:t>Part V – Glossaire</w:t>
      </w:r>
    </w:p>
    <w:p w14:paraId="15B61D6A" w14:textId="77777777" w:rsidR="00B22D43" w:rsidRPr="00825041" w:rsidRDefault="006F3982" w:rsidP="00FE6B67">
      <w:pPr>
        <w:spacing w:after="60" w:line="276" w:lineRule="auto"/>
        <w:ind w:left="720"/>
        <w:rPr>
          <w:rFonts w:eastAsia="Times New Roman" w:cs="Times New Roman"/>
          <w:lang w:val="fr-FR"/>
        </w:rPr>
      </w:pPr>
      <w:r w:rsidRPr="00825041">
        <w:rPr>
          <w:rFonts w:eastAsia="Times New Roman" w:cs="Times New Roman"/>
          <w:lang w:val="fr"/>
        </w:rPr>
        <w:t>Cette partie contient des définitions et acronymes secondaires (autres que les définitions importantes présentées dans la version préliminaire proposée des dispositions législatives).</w:t>
      </w:r>
    </w:p>
    <w:p w14:paraId="06931E17" w14:textId="77777777" w:rsidR="006F3982" w:rsidRPr="00825041" w:rsidRDefault="006F3982" w:rsidP="00FE6B67">
      <w:pPr>
        <w:numPr>
          <w:ilvl w:val="0"/>
          <w:numId w:val="20"/>
        </w:numPr>
        <w:spacing w:after="60" w:line="276" w:lineRule="auto"/>
        <w:rPr>
          <w:rFonts w:eastAsia="Times New Roman" w:cs="Times New Roman"/>
          <w:b/>
        </w:rPr>
      </w:pPr>
      <w:r w:rsidRPr="00825041">
        <w:rPr>
          <w:rFonts w:eastAsia="Times New Roman" w:cs="Times New Roman"/>
          <w:b/>
          <w:bCs/>
          <w:lang w:val="fr"/>
        </w:rPr>
        <w:t xml:space="preserve">Part VI – Références </w:t>
      </w:r>
    </w:p>
    <w:p w14:paraId="54F5FCC5" w14:textId="77777777" w:rsidR="00B22D43" w:rsidRPr="00825041" w:rsidRDefault="00792574" w:rsidP="00FE6B67">
      <w:pPr>
        <w:spacing w:after="60" w:line="276" w:lineRule="auto"/>
        <w:ind w:left="720"/>
        <w:rPr>
          <w:rFonts w:eastAsia="Times New Roman" w:cs="Times New Roman"/>
          <w:lang w:val="fr-FR"/>
        </w:rPr>
      </w:pPr>
      <w:r w:rsidRPr="00825041">
        <w:rPr>
          <w:rFonts w:eastAsia="Times New Roman" w:cs="Times New Roman"/>
          <w:lang w:val="fr"/>
        </w:rPr>
        <w:t>Cette partie dresse une liste des références et documents clés cités dans l'élaboration du cadre.</w:t>
      </w:r>
    </w:p>
    <w:p w14:paraId="7BEEF60B" w14:textId="77777777" w:rsidR="006F3982" w:rsidRPr="00825041" w:rsidRDefault="006F3982" w:rsidP="006F3982">
      <w:pPr>
        <w:spacing w:after="60" w:line="240" w:lineRule="exact"/>
        <w:ind w:left="720"/>
        <w:rPr>
          <w:rFonts w:eastAsia="Times New Roman" w:cs="Times New Roman"/>
          <w:lang w:val="fr-FR"/>
        </w:rPr>
      </w:pPr>
    </w:p>
    <w:p w14:paraId="1961F417" w14:textId="77777777" w:rsidR="00950652" w:rsidRPr="00825041" w:rsidRDefault="00950652" w:rsidP="006F3982">
      <w:pPr>
        <w:spacing w:after="60" w:line="240" w:lineRule="exact"/>
        <w:ind w:left="720"/>
        <w:rPr>
          <w:rFonts w:eastAsia="Times New Roman" w:cs="Times New Roman"/>
          <w:lang w:val="fr-FR"/>
        </w:rPr>
      </w:pPr>
    </w:p>
    <w:p w14:paraId="5DDDE601" w14:textId="77777777" w:rsidR="00B22D43" w:rsidRPr="00825041" w:rsidRDefault="006F3982" w:rsidP="00F36B0E">
      <w:pPr>
        <w:pBdr>
          <w:top w:val="single" w:sz="4" w:space="1" w:color="auto"/>
          <w:left w:val="single" w:sz="4" w:space="4" w:color="auto"/>
          <w:bottom w:val="single" w:sz="4" w:space="1" w:color="auto"/>
          <w:right w:val="single" w:sz="4" w:space="4" w:color="auto"/>
        </w:pBdr>
        <w:spacing w:after="60" w:line="240" w:lineRule="exact"/>
        <w:jc w:val="center"/>
        <w:rPr>
          <w:rFonts w:eastAsia="Times New Roman" w:cs="Times New Roman"/>
          <w:b/>
          <w:lang w:val="fr-FR"/>
        </w:rPr>
      </w:pPr>
      <w:r w:rsidRPr="00825041">
        <w:rPr>
          <w:rFonts w:eastAsia="Times New Roman" w:cs="Times New Roman"/>
          <w:b/>
          <w:bCs/>
          <w:lang w:val="fr"/>
        </w:rPr>
        <w:t xml:space="preserve">EXEMPLE 1 </w:t>
      </w:r>
    </w:p>
    <w:p w14:paraId="24CD916D" w14:textId="77777777" w:rsidR="006F3982" w:rsidRPr="00825041" w:rsidRDefault="006F3982" w:rsidP="00F36B0E">
      <w:pPr>
        <w:pBdr>
          <w:top w:val="single" w:sz="4" w:space="1" w:color="auto"/>
          <w:left w:val="single" w:sz="4" w:space="4" w:color="auto"/>
          <w:bottom w:val="single" w:sz="4" w:space="1" w:color="auto"/>
          <w:right w:val="single" w:sz="4" w:space="4" w:color="auto"/>
        </w:pBdr>
        <w:spacing w:after="120" w:line="240" w:lineRule="exact"/>
        <w:jc w:val="center"/>
        <w:rPr>
          <w:rFonts w:eastAsiaTheme="minorHAnsi" w:cs="Times New Roman"/>
          <w:b/>
          <w:lang w:val="fr-FR"/>
        </w:rPr>
      </w:pPr>
      <w:r w:rsidRPr="00825041">
        <w:rPr>
          <w:rFonts w:eastAsiaTheme="minorHAnsi" w:cs="Times New Roman"/>
          <w:b/>
          <w:bCs/>
          <w:lang w:val="fr"/>
        </w:rPr>
        <w:t>EMBALLAGE ET ÉTIQUETAGE DES PRODUITS DU TABAC</w:t>
      </w:r>
    </w:p>
    <w:p w14:paraId="7D50CCFF" w14:textId="77777777" w:rsidR="006F3982" w:rsidRPr="00825041" w:rsidDel="009C35FA" w:rsidRDefault="004048C6" w:rsidP="00FE6B67">
      <w:pPr>
        <w:spacing w:after="60" w:line="276" w:lineRule="auto"/>
        <w:rPr>
          <w:rFonts w:eastAsia="Times New Roman" w:cs="Times New Roman"/>
          <w:lang w:val="fr-FR"/>
        </w:rPr>
      </w:pPr>
      <w:r w:rsidRPr="00825041">
        <w:rPr>
          <w:rFonts w:eastAsia="Times New Roman" w:cs="Times New Roman"/>
          <w:lang w:val="fr"/>
        </w:rPr>
        <w:t xml:space="preserve">L'emballage et l'étiquetage des produits du tabac sont pris ici à titre d'exemple de ce qui devrait être couvert par les trois composantes identifiées en Partie III des grandes lignes du cadre législatif du Pacifique. </w:t>
      </w:r>
    </w:p>
    <w:p w14:paraId="1FD56101" w14:textId="77777777" w:rsidR="006F3982" w:rsidRPr="00825041" w:rsidRDefault="006F3982" w:rsidP="00FE6B67">
      <w:pPr>
        <w:spacing w:after="60" w:line="276" w:lineRule="auto"/>
        <w:rPr>
          <w:rFonts w:eastAsia="Times New Roman" w:cs="Times New Roman"/>
          <w:lang w:val="fr-FR"/>
        </w:rPr>
      </w:pPr>
    </w:p>
    <w:p w14:paraId="57F71B55" w14:textId="77777777" w:rsidR="006F3982" w:rsidRPr="00825041" w:rsidRDefault="00AA3B91" w:rsidP="00FE6B67">
      <w:pPr>
        <w:pStyle w:val="ListParagraph"/>
        <w:spacing w:before="480" w:line="276" w:lineRule="auto"/>
        <w:ind w:left="360"/>
        <w:jc w:val="center"/>
        <w:rPr>
          <w:rFonts w:eastAsiaTheme="minorHAnsi" w:cs="Times New Roman"/>
          <w:b/>
          <w:lang w:val="fr-FR"/>
        </w:rPr>
      </w:pPr>
      <w:r w:rsidRPr="00825041">
        <w:rPr>
          <w:rFonts w:eastAsiaTheme="minorHAnsi" w:cs="Times New Roman"/>
          <w:b/>
          <w:bCs/>
          <w:lang w:val="fr"/>
        </w:rPr>
        <w:t>1. POLITIQUES LÉGISLATIVES</w:t>
      </w:r>
    </w:p>
    <w:p w14:paraId="3DE08005" w14:textId="77777777" w:rsidR="006F3982" w:rsidRPr="00825041" w:rsidRDefault="00AA3B91" w:rsidP="00FE6B67">
      <w:pPr>
        <w:spacing w:after="60" w:line="276" w:lineRule="auto"/>
        <w:rPr>
          <w:rFonts w:eastAsiaTheme="minorHAnsi" w:cs="Times New Roman"/>
          <w:b/>
          <w:i/>
          <w:lang w:val="fr-FR"/>
        </w:rPr>
      </w:pPr>
      <w:r w:rsidRPr="00825041">
        <w:rPr>
          <w:rFonts w:eastAsiaTheme="minorHAnsi" w:cs="Times New Roman"/>
          <w:b/>
          <w:bCs/>
          <w:i/>
          <w:iCs/>
          <w:lang w:val="fr"/>
        </w:rPr>
        <w:t>1.1 Objectif de la politique</w:t>
      </w:r>
    </w:p>
    <w:p w14:paraId="689C081F" w14:textId="77777777" w:rsidR="006F3982" w:rsidRPr="00825041" w:rsidRDefault="004048C6" w:rsidP="00FE6B67">
      <w:pPr>
        <w:spacing w:after="60" w:line="276" w:lineRule="auto"/>
        <w:rPr>
          <w:rFonts w:eastAsiaTheme="minorHAnsi" w:cs="Times New Roman"/>
          <w:lang w:val="fr-FR"/>
        </w:rPr>
      </w:pPr>
      <w:r w:rsidRPr="00825041">
        <w:rPr>
          <w:rFonts w:eastAsiaTheme="minorHAnsi" w:cs="Times New Roman"/>
          <w:lang w:val="fr"/>
        </w:rPr>
        <w:t>Afin de réglementer l'emballage ou l'étiquetage des produits du tabac, y compris :</w:t>
      </w:r>
    </w:p>
    <w:p w14:paraId="44F071F7" w14:textId="77777777" w:rsidR="006F3982" w:rsidRPr="00825041" w:rsidRDefault="004048C6" w:rsidP="00FE6B67">
      <w:pPr>
        <w:widowControl w:val="0"/>
        <w:numPr>
          <w:ilvl w:val="0"/>
          <w:numId w:val="5"/>
        </w:numPr>
        <w:spacing w:after="60" w:line="276" w:lineRule="auto"/>
        <w:rPr>
          <w:rFonts w:eastAsia="Times New Roman" w:cs="Times New Roman"/>
          <w:lang w:val="fr-FR"/>
        </w:rPr>
      </w:pPr>
      <w:r w:rsidRPr="00825041">
        <w:rPr>
          <w:rFonts w:eastAsia="Times New Roman" w:cs="Times New Roman"/>
          <w:lang w:val="fr"/>
        </w:rPr>
        <w:t>la réglementation de la terminologie utilisée sur les emballages et l'étiquetage, particulièrement les termes qui seraient faux, trompeurs ou qui prêteraient à confusion ;</w:t>
      </w:r>
    </w:p>
    <w:p w14:paraId="5750EF5D" w14:textId="77777777" w:rsidR="006F3982" w:rsidRPr="00825041" w:rsidRDefault="004048C6" w:rsidP="00FE6B67">
      <w:pPr>
        <w:widowControl w:val="0"/>
        <w:numPr>
          <w:ilvl w:val="0"/>
          <w:numId w:val="5"/>
        </w:numPr>
        <w:spacing w:after="60" w:line="276" w:lineRule="auto"/>
        <w:rPr>
          <w:rFonts w:eastAsia="Times New Roman" w:cs="Times New Roman"/>
          <w:lang w:val="fr-FR"/>
        </w:rPr>
      </w:pPr>
      <w:r w:rsidRPr="00825041">
        <w:rPr>
          <w:rFonts w:eastAsia="Times New Roman" w:cs="Times New Roman"/>
          <w:lang w:val="fr"/>
        </w:rPr>
        <w:t>la réglementation des messages de santé ou mises en garde sur les emballages et étiquetages des produits du tabac ; et</w:t>
      </w:r>
    </w:p>
    <w:p w14:paraId="56FBAC6F" w14:textId="159A4A07" w:rsidR="00B22D43" w:rsidRPr="00825041" w:rsidRDefault="004048C6" w:rsidP="00FE6B67">
      <w:pPr>
        <w:widowControl w:val="0"/>
        <w:numPr>
          <w:ilvl w:val="0"/>
          <w:numId w:val="5"/>
        </w:numPr>
        <w:spacing w:after="60" w:line="276" w:lineRule="auto"/>
        <w:rPr>
          <w:rFonts w:eastAsia="Times New Roman" w:cs="Times New Roman"/>
          <w:lang w:val="fr-FR"/>
        </w:rPr>
      </w:pPr>
      <w:r w:rsidRPr="00825041">
        <w:rPr>
          <w:rFonts w:eastAsia="Times New Roman" w:cs="Times New Roman"/>
          <w:lang w:val="fr"/>
        </w:rPr>
        <w:t>la divulgation du contenu des produits du tabac et de ses effets sur les emballages et les étiquetages afin de diminuer leur attrait et l'addiction (risque de dépendance) au produit.</w:t>
      </w:r>
    </w:p>
    <w:p w14:paraId="1C26420A" w14:textId="77777777" w:rsidR="00D24521" w:rsidRPr="00825041" w:rsidRDefault="00D24521" w:rsidP="00300E07">
      <w:pPr>
        <w:widowControl w:val="0"/>
        <w:spacing w:after="60" w:line="276" w:lineRule="auto"/>
        <w:ind w:left="720"/>
        <w:rPr>
          <w:rFonts w:eastAsia="Times New Roman" w:cs="Times New Roman"/>
          <w:lang w:val="fr-FR"/>
        </w:rPr>
      </w:pPr>
    </w:p>
    <w:p w14:paraId="436DED6E" w14:textId="77777777" w:rsidR="006F3982" w:rsidRPr="00825041" w:rsidRDefault="006F3982" w:rsidP="00300E07">
      <w:pPr>
        <w:spacing w:before="0" w:after="200" w:line="276" w:lineRule="auto"/>
        <w:jc w:val="left"/>
        <w:rPr>
          <w:rFonts w:eastAsiaTheme="minorHAnsi" w:cs="Times New Roman"/>
          <w:b/>
          <w:i/>
        </w:rPr>
      </w:pPr>
      <w:r w:rsidRPr="00825041">
        <w:rPr>
          <w:rFonts w:eastAsiaTheme="minorHAnsi" w:cs="Times New Roman"/>
          <w:b/>
          <w:bCs/>
          <w:i/>
          <w:iCs/>
          <w:lang w:val="fr"/>
        </w:rPr>
        <w:t>Raisons derrière ces politiques</w:t>
      </w:r>
    </w:p>
    <w:p w14:paraId="6B3A6582" w14:textId="77777777" w:rsidR="006F3982" w:rsidRPr="00825041" w:rsidRDefault="00026AB3" w:rsidP="00FE6B67">
      <w:pPr>
        <w:numPr>
          <w:ilvl w:val="0"/>
          <w:numId w:val="6"/>
        </w:numPr>
        <w:spacing w:after="60" w:line="276" w:lineRule="auto"/>
        <w:rPr>
          <w:rFonts w:eastAsiaTheme="minorHAnsi" w:cs="Times New Roman"/>
          <w:lang w:val="fr-FR"/>
        </w:rPr>
      </w:pPr>
      <w:r w:rsidRPr="00825041">
        <w:rPr>
          <w:rFonts w:eastAsiaTheme="minorHAnsi" w:cs="Times New Roman"/>
          <w:lang w:val="fr"/>
        </w:rPr>
        <w:t>Pour empêcher toute utilisation de termes faux, trompeurs ou prêtant à confusion qui pourraient encourager les gens à penser que certains produits du tabac sont moins nocifs que d'autres.</w:t>
      </w:r>
    </w:p>
    <w:p w14:paraId="3A55102E" w14:textId="77777777" w:rsidR="006F3982" w:rsidRPr="00825041" w:rsidRDefault="00026AB3" w:rsidP="00FE6B67">
      <w:pPr>
        <w:numPr>
          <w:ilvl w:val="0"/>
          <w:numId w:val="6"/>
        </w:numPr>
        <w:spacing w:after="60" w:line="276" w:lineRule="auto"/>
        <w:rPr>
          <w:rFonts w:eastAsiaTheme="minorHAnsi" w:cs="Times New Roman"/>
          <w:lang w:val="fr-FR"/>
        </w:rPr>
      </w:pPr>
      <w:r w:rsidRPr="00825041">
        <w:rPr>
          <w:rFonts w:eastAsiaTheme="minorHAnsi" w:cs="Times New Roman"/>
          <w:lang w:val="fr"/>
        </w:rPr>
        <w:t>Pour empêcher l'étiquetage des quantités de contenus nocifs qui pourraient donner l'impression que les produits du tabac avec moins de goudron, de monoxyde de carbone, de nicotine, etc., sont moins nocifs. Il n'existe aucune preuve épidémiologique ou scientifique concluante montrant que les produits du tabac avec des mesures mécaniques des teneurs des fumées plus basses seraient moins nocives que les produits du tabac avec des teneurs des fumées plus élevées.</w:t>
      </w:r>
    </w:p>
    <w:p w14:paraId="6C5A9A89" w14:textId="77777777" w:rsidR="006F3982" w:rsidRPr="00825041" w:rsidRDefault="00026AB3" w:rsidP="00FE6B67">
      <w:pPr>
        <w:numPr>
          <w:ilvl w:val="0"/>
          <w:numId w:val="6"/>
        </w:numPr>
        <w:spacing w:after="60" w:line="276" w:lineRule="auto"/>
        <w:rPr>
          <w:rFonts w:eastAsiaTheme="minorHAnsi" w:cs="Times New Roman"/>
          <w:lang w:val="fr-FR"/>
        </w:rPr>
      </w:pPr>
      <w:r w:rsidRPr="00825041">
        <w:rPr>
          <w:rFonts w:eastAsiaTheme="minorHAnsi" w:cs="Times New Roman"/>
          <w:lang w:val="fr"/>
        </w:rPr>
        <w:t>Pour réglementer les exigences relatives à l'emballage ou à l'étiquetage (y compris aux emballages neutres) de manière à réduire la surface utilisée par l'industrie du tabac sur l'emballage ou la zone d'étiquetage pour rendre les produits du tabac plus séduisants et attirants.</w:t>
      </w:r>
    </w:p>
    <w:p w14:paraId="6AE77433" w14:textId="77777777" w:rsidR="00B22D43" w:rsidRPr="00825041" w:rsidRDefault="00026AB3" w:rsidP="00FE6B67">
      <w:pPr>
        <w:numPr>
          <w:ilvl w:val="0"/>
          <w:numId w:val="6"/>
        </w:numPr>
        <w:spacing w:after="60" w:line="276" w:lineRule="auto"/>
        <w:rPr>
          <w:rFonts w:eastAsiaTheme="minorHAnsi" w:cs="Times New Roman"/>
          <w:lang w:val="fr-FR"/>
        </w:rPr>
      </w:pPr>
      <w:r w:rsidRPr="00825041">
        <w:rPr>
          <w:rFonts w:eastAsiaTheme="minorHAnsi" w:cs="Times New Roman"/>
          <w:lang w:val="fr"/>
        </w:rPr>
        <w:t>Pour utiliser les mises en garde concernant les risques pour la santé comme des mises en gardes en matière de santé pour le consommateur, y compris le recours à des photographies pour aider ceux qui pourrait ne pas savoir lire (ou incapables de comprendre les terme et concepts médicaux) ou pour aider à comprendre les avertissements écrits.</w:t>
      </w:r>
    </w:p>
    <w:p w14:paraId="4C61C13D" w14:textId="77777777" w:rsidR="006F3982" w:rsidRPr="00825041" w:rsidRDefault="006F3982" w:rsidP="00FE6B67">
      <w:pPr>
        <w:pStyle w:val="ListParagraph"/>
        <w:numPr>
          <w:ilvl w:val="1"/>
          <w:numId w:val="30"/>
        </w:numPr>
        <w:spacing w:after="60" w:line="276" w:lineRule="auto"/>
        <w:rPr>
          <w:rFonts w:eastAsiaTheme="minorHAnsi" w:cs="Times New Roman"/>
          <w:b/>
          <w:i/>
        </w:rPr>
      </w:pPr>
      <w:r w:rsidRPr="00825041">
        <w:rPr>
          <w:rFonts w:eastAsiaTheme="minorHAnsi" w:cs="Times New Roman"/>
          <w:b/>
          <w:bCs/>
          <w:i/>
          <w:iCs/>
          <w:lang w:val="fr"/>
        </w:rPr>
        <w:t>FCTC : obligation des Parties</w:t>
      </w:r>
    </w:p>
    <w:p w14:paraId="5D3F0C9D" w14:textId="77777777" w:rsidR="006F3982" w:rsidRPr="00825041" w:rsidRDefault="006F3982" w:rsidP="00FE6B67">
      <w:pPr>
        <w:spacing w:after="60" w:line="276" w:lineRule="auto"/>
        <w:rPr>
          <w:rFonts w:eastAsiaTheme="minorHAnsi" w:cs="Times New Roman"/>
          <w:lang w:val="fr-FR"/>
        </w:rPr>
      </w:pPr>
      <w:r w:rsidRPr="00825041">
        <w:rPr>
          <w:rFonts w:eastAsiaTheme="minorHAnsi" w:cs="Times New Roman"/>
          <w:lang w:val="fr"/>
        </w:rPr>
        <w:t>L'article 11 de la Convention-cadre de l'OMS pour la lutte antitabac (FCTC) exige de la législation que soient réglementées :</w:t>
      </w:r>
    </w:p>
    <w:p w14:paraId="56D3B980" w14:textId="77777777" w:rsidR="006F3982" w:rsidRPr="00825041" w:rsidRDefault="00F450FE" w:rsidP="00FE6B67">
      <w:pPr>
        <w:numPr>
          <w:ilvl w:val="0"/>
          <w:numId w:val="7"/>
        </w:numPr>
        <w:spacing w:after="60" w:line="276" w:lineRule="auto"/>
        <w:rPr>
          <w:rFonts w:eastAsiaTheme="minorHAnsi" w:cs="Times New Roman"/>
          <w:lang w:val="fr-FR"/>
        </w:rPr>
      </w:pPr>
      <w:r w:rsidRPr="00825041">
        <w:rPr>
          <w:rFonts w:eastAsiaTheme="minorHAnsi" w:cs="Times New Roman"/>
          <w:lang w:val="fr"/>
        </w:rPr>
        <w:t>les emballages ou étiquetages de produits du tabac qui soient faux, trompeurs ou prêtant à confusion ; et</w:t>
      </w:r>
    </w:p>
    <w:p w14:paraId="138054DF" w14:textId="259ED379" w:rsidR="00B22D43" w:rsidRPr="00825041" w:rsidRDefault="00F450FE" w:rsidP="00FE6B67">
      <w:pPr>
        <w:numPr>
          <w:ilvl w:val="0"/>
          <w:numId w:val="7"/>
        </w:numPr>
        <w:spacing w:after="60" w:line="276" w:lineRule="auto"/>
        <w:rPr>
          <w:rFonts w:eastAsiaTheme="minorHAnsi" w:cs="Times New Roman"/>
          <w:lang w:val="fr-FR"/>
        </w:rPr>
      </w:pPr>
      <w:r w:rsidRPr="00825041">
        <w:rPr>
          <w:rFonts w:eastAsiaTheme="minorHAnsi" w:cs="Times New Roman"/>
          <w:lang w:val="fr"/>
        </w:rPr>
        <w:t>les mises en garde décrivant les effets nocifs de la consommation de tabac sur les emballages et les étiquetages.</w:t>
      </w:r>
    </w:p>
    <w:p w14:paraId="592391B6" w14:textId="77777777" w:rsidR="00D24521" w:rsidRPr="00825041" w:rsidRDefault="00D24521" w:rsidP="00300E07">
      <w:pPr>
        <w:spacing w:after="60" w:line="276" w:lineRule="auto"/>
        <w:ind w:left="720"/>
        <w:rPr>
          <w:rFonts w:eastAsiaTheme="minorHAnsi" w:cs="Times New Roman"/>
          <w:lang w:val="fr-FR"/>
        </w:rPr>
      </w:pPr>
    </w:p>
    <w:p w14:paraId="3D449BAB" w14:textId="77777777" w:rsidR="006F3982" w:rsidRPr="00825041" w:rsidRDefault="00F450FE" w:rsidP="00FE6B67">
      <w:pPr>
        <w:numPr>
          <w:ilvl w:val="1"/>
          <w:numId w:val="30"/>
        </w:numPr>
        <w:spacing w:after="60" w:line="276" w:lineRule="auto"/>
        <w:rPr>
          <w:rFonts w:eastAsiaTheme="minorHAnsi" w:cs="Times New Roman"/>
          <w:b/>
          <w:i/>
          <w:lang w:val="fr-FR"/>
        </w:rPr>
      </w:pPr>
      <w:r w:rsidRPr="00825041">
        <w:rPr>
          <w:rFonts w:eastAsiaTheme="minorHAnsi" w:cs="Times New Roman"/>
          <w:b/>
          <w:bCs/>
          <w:i/>
          <w:iCs/>
          <w:lang w:val="fr"/>
        </w:rPr>
        <w:t xml:space="preserve">Exemples par pays de dispositions relatives aux mises en garde </w:t>
      </w:r>
    </w:p>
    <w:p w14:paraId="0C14D2DB" w14:textId="77777777" w:rsidR="006F3982" w:rsidRPr="00825041" w:rsidRDefault="006F3982" w:rsidP="00FE6B67">
      <w:pPr>
        <w:numPr>
          <w:ilvl w:val="0"/>
          <w:numId w:val="8"/>
        </w:numPr>
        <w:spacing w:after="60" w:line="276" w:lineRule="auto"/>
        <w:rPr>
          <w:rFonts w:eastAsiaTheme="minorHAnsi" w:cs="Times New Roman"/>
          <w:lang w:val="fr-FR"/>
        </w:rPr>
      </w:pPr>
      <w:r w:rsidRPr="00825041">
        <w:rPr>
          <w:rFonts w:eastAsiaTheme="minorHAnsi" w:cs="Times New Roman"/>
          <w:lang w:val="fr"/>
        </w:rPr>
        <w:t>Fidji met en place des mises en garde écrites accompagnées de graphiques, le tout présenté dans les trois langues nationales ; les mises en garde sanitaires couvrent 30 % de la surface d'étiquetage sur le devant du paquet et 90 % au dos du paquet (toutes les images proviennent de sources internationales).</w:t>
      </w:r>
    </w:p>
    <w:p w14:paraId="15E9C5F9" w14:textId="77777777" w:rsidR="006F3982" w:rsidRPr="00825041" w:rsidRDefault="006F3982" w:rsidP="00FE6B67">
      <w:pPr>
        <w:numPr>
          <w:ilvl w:val="0"/>
          <w:numId w:val="8"/>
        </w:numPr>
        <w:spacing w:after="60" w:line="276" w:lineRule="auto"/>
        <w:rPr>
          <w:rFonts w:eastAsiaTheme="minorHAnsi" w:cs="Times New Roman"/>
          <w:lang w:val="fr-FR"/>
        </w:rPr>
      </w:pPr>
      <w:r w:rsidRPr="00825041">
        <w:rPr>
          <w:rFonts w:eastAsiaTheme="minorHAnsi" w:cs="Times New Roman"/>
          <w:lang w:val="fr"/>
        </w:rPr>
        <w:t>Le Samoa présente des mises en garde écrites dans les deux langues nationales ; les mises en garde sanitaires couvrent 30 % de la surface d'étiquetage sur le devant du paquet et 90 % au dos du paquet (certaines images sont locales).</w:t>
      </w:r>
    </w:p>
    <w:p w14:paraId="445C8D97" w14:textId="77777777" w:rsidR="006F3982" w:rsidRPr="00825041" w:rsidRDefault="006F3982" w:rsidP="00FE6B67">
      <w:pPr>
        <w:numPr>
          <w:ilvl w:val="0"/>
          <w:numId w:val="8"/>
        </w:numPr>
        <w:spacing w:after="60" w:line="276" w:lineRule="auto"/>
        <w:rPr>
          <w:rFonts w:eastAsiaTheme="minorHAnsi" w:cs="Times New Roman"/>
          <w:lang w:val="fr-FR"/>
        </w:rPr>
      </w:pPr>
      <w:r w:rsidRPr="00825041">
        <w:rPr>
          <w:rFonts w:eastAsiaTheme="minorHAnsi" w:cs="Times New Roman"/>
          <w:lang w:val="fr"/>
        </w:rPr>
        <w:t>Les Îles Salomon mettent en place des mises en garde écrites dans les deux langues nationales ; les mises en garde sanitaires couvrent 30 % de la surface d'étiquetage sur le devant du paquet et 70 % au dos du paquet (certaines images sont locales).</w:t>
      </w:r>
    </w:p>
    <w:p w14:paraId="2DB0B32C" w14:textId="77777777" w:rsidR="006F3982" w:rsidRPr="00825041" w:rsidRDefault="006F3982" w:rsidP="00FE6B67">
      <w:pPr>
        <w:numPr>
          <w:ilvl w:val="0"/>
          <w:numId w:val="8"/>
        </w:numPr>
        <w:spacing w:after="60" w:line="276" w:lineRule="auto"/>
        <w:rPr>
          <w:rFonts w:eastAsiaTheme="minorHAnsi" w:cs="Times New Roman"/>
          <w:lang w:val="fr-FR"/>
        </w:rPr>
      </w:pPr>
      <w:r w:rsidRPr="00825041">
        <w:rPr>
          <w:rFonts w:eastAsiaTheme="minorHAnsi" w:cs="Times New Roman"/>
          <w:lang w:val="fr"/>
        </w:rPr>
        <w:t xml:space="preserve">Le Vanuatu affiche des mises en garde écrites dans les trois langues nationales ; les mises en garde sanitaires couvrent 90 % de la surface d'étiquetage sur le devant du paquet et 90 % au dos du paquet (toutes les images sont locales). </w:t>
      </w:r>
    </w:p>
    <w:p w14:paraId="6ED6663D" w14:textId="77777777" w:rsidR="006F3982" w:rsidRPr="00825041" w:rsidRDefault="006F3982" w:rsidP="00FE6B67">
      <w:pPr>
        <w:numPr>
          <w:ilvl w:val="0"/>
          <w:numId w:val="8"/>
        </w:numPr>
        <w:spacing w:after="60" w:line="276" w:lineRule="auto"/>
        <w:rPr>
          <w:rFonts w:eastAsiaTheme="minorHAnsi" w:cs="Times New Roman"/>
          <w:lang w:val="fr-FR"/>
        </w:rPr>
      </w:pPr>
      <w:r w:rsidRPr="00825041">
        <w:rPr>
          <w:rFonts w:eastAsiaTheme="minorHAnsi" w:cs="Times New Roman"/>
          <w:lang w:val="fr"/>
        </w:rPr>
        <w:t xml:space="preserve">En plus des mesures ci-dessus, quatre autres îles océaniennes demandent à ce que les mises en garde écrites apparaissent dans toutes les langues principales de ces pays. </w:t>
      </w:r>
    </w:p>
    <w:p w14:paraId="321D2866" w14:textId="77777777" w:rsidR="00026AB3" w:rsidRPr="00825041" w:rsidRDefault="006F3982" w:rsidP="00FE6B67">
      <w:pPr>
        <w:numPr>
          <w:ilvl w:val="0"/>
          <w:numId w:val="9"/>
        </w:numPr>
        <w:spacing w:after="60" w:line="276" w:lineRule="auto"/>
        <w:rPr>
          <w:rFonts w:eastAsiaTheme="minorHAnsi" w:cs="Times New Roman"/>
          <w:lang w:val="fr-FR"/>
        </w:rPr>
      </w:pPr>
      <w:r w:rsidRPr="00825041">
        <w:rPr>
          <w:rFonts w:eastAsiaTheme="minorHAnsi" w:cs="Times New Roman"/>
          <w:lang w:val="fr"/>
        </w:rPr>
        <w:t>Le Samoa, les Îles Salomon, les Tonga et le Vanuatu réclament que l'étiquetage mentionne le pays où devrait être écoulé ce produit.</w:t>
      </w:r>
    </w:p>
    <w:p w14:paraId="23A39CCF" w14:textId="77777777" w:rsidR="006F3982" w:rsidRPr="00825041" w:rsidRDefault="006F3982" w:rsidP="00FE6B67">
      <w:pPr>
        <w:numPr>
          <w:ilvl w:val="1"/>
          <w:numId w:val="30"/>
        </w:numPr>
        <w:spacing w:after="60" w:line="276" w:lineRule="auto"/>
        <w:rPr>
          <w:rFonts w:eastAsiaTheme="minorHAnsi" w:cs="Times New Roman"/>
          <w:b/>
          <w:i/>
        </w:rPr>
      </w:pPr>
      <w:r w:rsidRPr="00825041">
        <w:rPr>
          <w:rFonts w:eastAsiaTheme="minorHAnsi" w:cs="Times New Roman"/>
          <w:b/>
          <w:bCs/>
          <w:i/>
          <w:iCs/>
          <w:lang w:val="fr"/>
        </w:rPr>
        <w:t>Emballages neutres</w:t>
      </w:r>
    </w:p>
    <w:p w14:paraId="56C37D2D" w14:textId="2B92AA11" w:rsidR="00950652" w:rsidRPr="00825041" w:rsidRDefault="006F3982" w:rsidP="00950652">
      <w:pPr>
        <w:spacing w:after="60" w:line="276" w:lineRule="auto"/>
        <w:rPr>
          <w:rFonts w:eastAsia="Times New Roman" w:cs="Times New Roman"/>
          <w:lang w:val="fr-FR"/>
        </w:rPr>
      </w:pPr>
      <w:r w:rsidRPr="00825041">
        <w:rPr>
          <w:rFonts w:eastAsia="Times New Roman" w:cs="Times New Roman"/>
          <w:lang w:val="fr"/>
        </w:rPr>
        <w:t>L'objectif de ces politiques est de décourager la population de fumer des produits du tabac en retirant toute association positive avec des marques de fabrique (y compris les marques déposées ou marques) de l'emballage. À l'échelle mondiale, 11 pays (dont l'Australie) exigent des emballages neutres ou uniformisés. Comme le montre la Fig. 1, l'emballage neutre des paquets de cigarettes en Australie utilise des couleurs de paquets peu attrayantes et privilégie les mises en garde de santé.</w:t>
      </w:r>
    </w:p>
    <w:p w14:paraId="24A6083B" w14:textId="0E274039" w:rsidR="006F3982" w:rsidRPr="00825041" w:rsidRDefault="00950652" w:rsidP="00FE6B67">
      <w:pPr>
        <w:spacing w:after="60" w:line="276" w:lineRule="auto"/>
        <w:rPr>
          <w:rFonts w:eastAsia="Times New Roman" w:cs="Times New Roman"/>
          <w:b/>
          <w:lang w:val="fr-FR"/>
        </w:rPr>
      </w:pPr>
      <w:r w:rsidRPr="00825041">
        <w:rPr>
          <w:rFonts w:eastAsia="Times New Roman" w:cs="Times New Roman"/>
          <w:b/>
          <w:bCs/>
          <w:lang w:val="fr"/>
        </w:rPr>
        <w:t xml:space="preserve"> Fig. 1. Emballages neutres des paquets de cigarettes </w:t>
      </w:r>
      <w:r w:rsidR="00D24521" w:rsidRPr="00825041">
        <w:rPr>
          <w:rFonts w:eastAsia="Times New Roman" w:cs="Times New Roman"/>
          <w:b/>
          <w:bCs/>
          <w:lang w:val="fr"/>
        </w:rPr>
        <w:t>e</w:t>
      </w:r>
      <w:r w:rsidRPr="00825041">
        <w:rPr>
          <w:rFonts w:eastAsia="Times New Roman" w:cs="Times New Roman"/>
          <w:b/>
          <w:bCs/>
          <w:lang w:val="fr"/>
        </w:rPr>
        <w:t xml:space="preserve">n Australie </w:t>
      </w:r>
    </w:p>
    <w:p w14:paraId="109693F5" w14:textId="77777777" w:rsidR="006F3982" w:rsidRPr="00825041" w:rsidRDefault="006F3982" w:rsidP="006F3982">
      <w:pPr>
        <w:spacing w:after="60" w:line="240" w:lineRule="exact"/>
        <w:rPr>
          <w:rFonts w:eastAsia="Times New Roman" w:cs="Times New Roman"/>
          <w:lang w:val="fr-FR"/>
        </w:rPr>
      </w:pPr>
      <w:r w:rsidRPr="00825041">
        <w:rPr>
          <w:rFonts w:eastAsia="Times New Roman" w:cs="Times New Roman"/>
          <w:noProof/>
          <w:lang w:val="en-US" w:eastAsia="en-US"/>
        </w:rPr>
        <w:drawing>
          <wp:anchor distT="0" distB="0" distL="114300" distR="114300" simplePos="0" relativeHeight="251659264" behindDoc="1" locked="0" layoutInCell="1" allowOverlap="1" wp14:anchorId="06570F19" wp14:editId="54EADA2B">
            <wp:simplePos x="0" y="0"/>
            <wp:positionH relativeFrom="margin">
              <wp:align>left</wp:align>
            </wp:positionH>
            <wp:positionV relativeFrom="paragraph">
              <wp:posOffset>75565</wp:posOffset>
            </wp:positionV>
            <wp:extent cx="2133600" cy="1175385"/>
            <wp:effectExtent l="0" t="0" r="0" b="5715"/>
            <wp:wrapTight wrapText="bothSides">
              <wp:wrapPolygon edited="0">
                <wp:start x="0" y="0"/>
                <wp:lineTo x="0" y="21355"/>
                <wp:lineTo x="21407" y="21355"/>
                <wp:lineTo x="21407" y="0"/>
                <wp:lineTo x="0" y="0"/>
              </wp:wrapPolygon>
            </wp:wrapTight>
            <wp:docPr id="10" name="Picture 10" descr="C:\Users\sithuw.000\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ithuw.000\Pictures\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3600" cy="11753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B6CD48" w14:textId="77777777" w:rsidR="006F3982" w:rsidRPr="00825041" w:rsidRDefault="006F3982" w:rsidP="006F3982">
      <w:pPr>
        <w:spacing w:after="60" w:line="240" w:lineRule="exact"/>
        <w:rPr>
          <w:rFonts w:eastAsia="Times New Roman" w:cs="Times New Roman"/>
          <w:lang w:val="fr-FR"/>
        </w:rPr>
      </w:pPr>
    </w:p>
    <w:p w14:paraId="2EEE3499" w14:textId="77777777" w:rsidR="006F3982" w:rsidRPr="00825041" w:rsidRDefault="006F3982" w:rsidP="006F3982">
      <w:pPr>
        <w:spacing w:after="60" w:line="240" w:lineRule="exact"/>
        <w:rPr>
          <w:rFonts w:eastAsia="Times New Roman" w:cs="Times New Roman"/>
          <w:lang w:val="fr-FR"/>
        </w:rPr>
      </w:pPr>
    </w:p>
    <w:p w14:paraId="0364ABBA" w14:textId="77777777" w:rsidR="006F3982" w:rsidRPr="00825041" w:rsidRDefault="006F3982" w:rsidP="006F3982">
      <w:pPr>
        <w:spacing w:after="60" w:line="240" w:lineRule="exact"/>
        <w:rPr>
          <w:rFonts w:eastAsia="Times New Roman" w:cs="Times New Roman"/>
          <w:b/>
          <w:bCs/>
          <w:lang w:val="fr-FR"/>
        </w:rPr>
      </w:pPr>
    </w:p>
    <w:p w14:paraId="481C9F64" w14:textId="77777777" w:rsidR="006F3982" w:rsidRPr="00825041" w:rsidRDefault="006F3982" w:rsidP="00FE6B67">
      <w:pPr>
        <w:spacing w:after="60" w:line="276" w:lineRule="auto"/>
        <w:rPr>
          <w:rFonts w:eastAsia="Times New Roman" w:cs="Times New Roman"/>
          <w:lang w:val="fr-FR"/>
        </w:rPr>
      </w:pPr>
    </w:p>
    <w:p w14:paraId="2BD870CE" w14:textId="77777777" w:rsidR="002F2C0D" w:rsidRDefault="002F2C0D" w:rsidP="00FE6B67">
      <w:pPr>
        <w:spacing w:after="60" w:line="276" w:lineRule="auto"/>
        <w:rPr>
          <w:rFonts w:eastAsia="Times New Roman" w:cs="Times New Roman"/>
          <w:lang w:val="fr"/>
        </w:rPr>
      </w:pPr>
    </w:p>
    <w:p w14:paraId="0D1B883D" w14:textId="77777777" w:rsidR="006F3982" w:rsidRPr="00825041" w:rsidRDefault="006F3982" w:rsidP="00FE6B67">
      <w:pPr>
        <w:spacing w:after="60" w:line="276" w:lineRule="auto"/>
        <w:rPr>
          <w:rFonts w:eastAsia="Times New Roman" w:cs="Times New Roman"/>
          <w:lang w:val="fr-FR"/>
        </w:rPr>
      </w:pPr>
      <w:r w:rsidRPr="00825041">
        <w:rPr>
          <w:rFonts w:eastAsia="Times New Roman" w:cs="Times New Roman"/>
          <w:lang w:val="fr"/>
        </w:rPr>
        <w:t>Les intentions au point de vue législatif sont :</w:t>
      </w:r>
    </w:p>
    <w:p w14:paraId="74463585" w14:textId="77777777" w:rsidR="006F3982" w:rsidRPr="00825041" w:rsidRDefault="009E2549" w:rsidP="00FE6B67">
      <w:pPr>
        <w:numPr>
          <w:ilvl w:val="0"/>
          <w:numId w:val="10"/>
        </w:numPr>
        <w:spacing w:after="60" w:line="276" w:lineRule="auto"/>
        <w:rPr>
          <w:rFonts w:eastAsia="Times New Roman" w:cs="Times New Roman"/>
          <w:lang w:val="fr-FR"/>
        </w:rPr>
      </w:pPr>
      <w:r w:rsidRPr="00825041">
        <w:rPr>
          <w:rFonts w:eastAsia="Times New Roman" w:cs="Times New Roman"/>
          <w:lang w:val="fr"/>
        </w:rPr>
        <w:t>de réglementer la taille, la police et l'emplacement du nom de la marque sur l'emballage lors de l'impression, en plus des mises en garde sanitaires écrites et de toute autre information légale obligatoire telles que les composants toxiques et les timbres fiscaux ;</w:t>
      </w:r>
    </w:p>
    <w:p w14:paraId="44801359" w14:textId="7C8B4FEF" w:rsidR="006F3982" w:rsidRPr="00825041" w:rsidRDefault="009E2549" w:rsidP="00FE6B67">
      <w:pPr>
        <w:numPr>
          <w:ilvl w:val="0"/>
          <w:numId w:val="10"/>
        </w:numPr>
        <w:spacing w:after="60" w:line="276" w:lineRule="auto"/>
        <w:rPr>
          <w:rFonts w:eastAsia="Times New Roman" w:cs="Times New Roman"/>
          <w:lang w:val="fr-FR"/>
        </w:rPr>
      </w:pPr>
      <w:r w:rsidRPr="00825041">
        <w:rPr>
          <w:rFonts w:eastAsia="Times New Roman" w:cs="Times New Roman"/>
          <w:lang w:val="fr"/>
        </w:rPr>
        <w:t>d'uniformiser l'apparence des paquets de produits du tabac, y compris en utilisant des couleurs peu attrayantes pour les paquets et en réduisant l'espace habituellement utilisé par l'industrie du tabac pour accroître l'attrait du paquet à l'aide de couleurs, de termes, de logos, etc. ; et</w:t>
      </w:r>
    </w:p>
    <w:p w14:paraId="007303B2" w14:textId="77777777" w:rsidR="006F3982" w:rsidRPr="00825041" w:rsidRDefault="009E2549" w:rsidP="00FE6B67">
      <w:pPr>
        <w:numPr>
          <w:ilvl w:val="0"/>
          <w:numId w:val="10"/>
        </w:numPr>
        <w:spacing w:after="60" w:line="276" w:lineRule="auto"/>
        <w:rPr>
          <w:rFonts w:eastAsiaTheme="minorHAnsi" w:cs="Times New Roman"/>
          <w:lang w:val="fr-FR"/>
        </w:rPr>
      </w:pPr>
      <w:r w:rsidRPr="00825041">
        <w:rPr>
          <w:rFonts w:eastAsiaTheme="minorHAnsi" w:cs="Times New Roman"/>
          <w:lang w:val="fr"/>
        </w:rPr>
        <w:t>d'accroître l'efficacité des mises en garde sanitaires et de clarifier certaines perceptions erronées quant à la nocivité des produits du tabac.</w:t>
      </w:r>
    </w:p>
    <w:p w14:paraId="57616648" w14:textId="77777777" w:rsidR="006F3982" w:rsidRPr="00825041" w:rsidRDefault="006F3982" w:rsidP="00FE6B67">
      <w:pPr>
        <w:spacing w:after="60" w:line="276" w:lineRule="auto"/>
        <w:rPr>
          <w:rFonts w:eastAsiaTheme="minorHAnsi" w:cs="Times New Roman"/>
          <w:lang w:val="fr-FR"/>
        </w:rPr>
      </w:pPr>
      <w:r w:rsidRPr="00825041">
        <w:rPr>
          <w:rFonts w:eastAsiaTheme="minorHAnsi" w:cs="Times New Roman"/>
          <w:lang w:val="fr"/>
        </w:rPr>
        <w:t xml:space="preserve">Suite au passage de la législation sur les emballages neutres en Australie, les faits ont montré que : </w:t>
      </w:r>
    </w:p>
    <w:p w14:paraId="4E9DAED9" w14:textId="77777777" w:rsidR="006F3982" w:rsidRPr="00825041" w:rsidRDefault="00FC47EA" w:rsidP="00FE6B67">
      <w:pPr>
        <w:numPr>
          <w:ilvl w:val="0"/>
          <w:numId w:val="11"/>
        </w:numPr>
        <w:spacing w:after="60" w:line="276" w:lineRule="auto"/>
        <w:rPr>
          <w:rFonts w:eastAsiaTheme="minorHAnsi" w:cs="Times New Roman"/>
          <w:lang w:val="fr-FR"/>
        </w:rPr>
      </w:pPr>
      <w:r w:rsidRPr="00825041">
        <w:rPr>
          <w:rFonts w:eastAsiaTheme="minorHAnsi" w:cs="Times New Roman"/>
          <w:lang w:val="fr"/>
        </w:rPr>
        <w:t>le nombre de fumeurs qui ont tenté d'arrêter de fumer en Australie a augmenté ; et</w:t>
      </w:r>
    </w:p>
    <w:p w14:paraId="1249A635" w14:textId="77777777" w:rsidR="00AC6645" w:rsidRPr="00825041" w:rsidRDefault="00766660" w:rsidP="00FE6B67">
      <w:pPr>
        <w:numPr>
          <w:ilvl w:val="0"/>
          <w:numId w:val="11"/>
        </w:numPr>
        <w:spacing w:after="60" w:line="276" w:lineRule="auto"/>
        <w:rPr>
          <w:rFonts w:eastAsiaTheme="minorHAnsi" w:cs="Times New Roman"/>
          <w:lang w:val="fr-FR"/>
        </w:rPr>
      </w:pPr>
      <w:r w:rsidRPr="00825041">
        <w:rPr>
          <w:rFonts w:eastAsiaTheme="minorHAnsi" w:cs="Times New Roman"/>
          <w:lang w:val="fr"/>
        </w:rPr>
        <w:t>davantage d'adolescents considèrent les paquets de cigarettes et les marques comme moins attirants et ont plus d'attentes négatives quant au fait de fumer.</w:t>
      </w:r>
      <w:r w:rsidRPr="00825041">
        <w:rPr>
          <w:rFonts w:eastAsiaTheme="minorHAnsi" w:cs="Times New Roman"/>
          <w:vertAlign w:val="superscript"/>
          <w:lang w:val="fr"/>
        </w:rPr>
        <w:footnoteReference w:id="2"/>
      </w:r>
    </w:p>
    <w:p w14:paraId="2E79FDE5" w14:textId="77777777" w:rsidR="006F3982" w:rsidRPr="00825041" w:rsidRDefault="006F3982" w:rsidP="00FE6B67">
      <w:pPr>
        <w:numPr>
          <w:ilvl w:val="1"/>
          <w:numId w:val="30"/>
        </w:numPr>
        <w:spacing w:after="60" w:line="276" w:lineRule="auto"/>
        <w:rPr>
          <w:rFonts w:eastAsiaTheme="minorHAnsi" w:cs="Times New Roman"/>
          <w:b/>
          <w:i/>
          <w:lang w:val="fr-FR"/>
        </w:rPr>
      </w:pPr>
      <w:r w:rsidRPr="00825041">
        <w:rPr>
          <w:rFonts w:eastAsiaTheme="minorHAnsi" w:cs="Times New Roman"/>
          <w:b/>
          <w:bCs/>
          <w:i/>
          <w:iCs/>
          <w:lang w:val="fr"/>
        </w:rPr>
        <w:t>Problèmes d'ordre juridique sur les emballages neutres</w:t>
      </w:r>
    </w:p>
    <w:p w14:paraId="190E0E57" w14:textId="77777777" w:rsidR="00FC47EA" w:rsidRPr="00825041" w:rsidRDefault="006F3982" w:rsidP="00FE6B67">
      <w:pPr>
        <w:spacing w:line="276" w:lineRule="auto"/>
        <w:rPr>
          <w:rFonts w:eastAsiaTheme="minorHAnsi" w:cs="Times New Roman"/>
          <w:b/>
          <w:lang w:val="fr-FR"/>
        </w:rPr>
      </w:pPr>
      <w:r w:rsidRPr="00825041">
        <w:rPr>
          <w:rFonts w:eastAsiaTheme="minorHAnsi" w:cs="Times New Roman"/>
          <w:lang w:val="fr"/>
        </w:rPr>
        <w:t xml:space="preserve">En juin 2018, un panel de l'Organisation mondiale du Commerce (OMC) affirmait que les lois australiennes sur les emballages neutres étaient </w:t>
      </w:r>
      <w:proofErr w:type="gramStart"/>
      <w:r w:rsidRPr="00825041">
        <w:rPr>
          <w:rFonts w:eastAsiaTheme="minorHAnsi" w:cs="Times New Roman"/>
          <w:lang w:val="fr"/>
        </w:rPr>
        <w:t>cohérents</w:t>
      </w:r>
      <w:proofErr w:type="gramEnd"/>
      <w:r w:rsidRPr="00825041">
        <w:rPr>
          <w:rFonts w:eastAsiaTheme="minorHAnsi" w:cs="Times New Roman"/>
          <w:lang w:val="fr"/>
        </w:rPr>
        <w:t xml:space="preserve"> avec les obligations de l'Australie envers l'OMC. Le panel a rejeté les réclamations avancées par Cuba, la République dominicaine, le Honduras et l'Indonésie selon lesquelles les lois australiennes entraient en violation avec l'Accord sur les obstacles techniques au commerce (OTC), l'Accord OMC sur les aspects commerciaux des droits de propriété intellectuelle et l'Accord général sur les tarifs douaniers et le commerce de l'OMC. Le panel a mis en avant que les emballages neutres « peuvent, et doivent, contribuer » à l'objectif de réduire l'usage du tabac et l'exposition aux fumées du tabac, il est restrictif au niveau commercial tout comme il est nécessaire de protéger la santé en vertu de l'article 2.2 de l'Accord OTC, et il n'entre pas en violation d'une quelconque protection des droits de propriété intellectuelle en vertu de l'Accord OMC sur cette question.</w:t>
      </w:r>
    </w:p>
    <w:p w14:paraId="4B48D268" w14:textId="77777777" w:rsidR="006F3982" w:rsidRPr="00825041" w:rsidRDefault="00AA3B91" w:rsidP="00FE6B67">
      <w:pPr>
        <w:spacing w:before="480" w:after="360" w:line="276" w:lineRule="auto"/>
        <w:jc w:val="center"/>
        <w:rPr>
          <w:rFonts w:eastAsiaTheme="minorHAnsi" w:cs="Times New Roman"/>
          <w:b/>
          <w:lang w:val="fr-FR"/>
        </w:rPr>
      </w:pPr>
      <w:r w:rsidRPr="00825041">
        <w:rPr>
          <w:rFonts w:eastAsiaTheme="minorHAnsi" w:cs="Times New Roman"/>
          <w:b/>
          <w:bCs/>
          <w:lang w:val="fr"/>
        </w:rPr>
        <w:t>2. PLAN LÉGISLATIF</w:t>
      </w:r>
    </w:p>
    <w:p w14:paraId="43BCBF77" w14:textId="77777777" w:rsidR="006F3982" w:rsidRPr="00825041" w:rsidRDefault="006F3982" w:rsidP="00FE6B67">
      <w:pPr>
        <w:spacing w:after="60" w:line="276" w:lineRule="auto"/>
        <w:rPr>
          <w:rFonts w:eastAsiaTheme="minorHAnsi" w:cs="Times New Roman"/>
          <w:lang w:val="fr-FR"/>
        </w:rPr>
      </w:pPr>
      <w:r w:rsidRPr="00825041">
        <w:rPr>
          <w:rFonts w:eastAsiaTheme="minorHAnsi" w:cs="Times New Roman"/>
          <w:lang w:val="fr"/>
        </w:rPr>
        <w:t>Le plan législatif a pour vocation de définir les grandes lignes des dispositions législatives proposées afin de fournir un cadre aux rédacteurs législatifs pour la rédaction des dispositions législatives. En ce qui concerne l'emballage et l'étiquetage, le plan traitera des définitions ; de l'information sur les emballages et l'étiquetage ; des étiquetages faux, trompeurs ou prêtant à confusion ; des mises en garde ou des messages de santé ; et des emballages neutres. Voici un exemple d'un plan législatif pour les dispositions relatives aux emballages neutres :</w:t>
      </w:r>
    </w:p>
    <w:p w14:paraId="3B0A1059" w14:textId="77777777" w:rsidR="006F3982" w:rsidRPr="00825041" w:rsidRDefault="006F3982" w:rsidP="00FE6B67">
      <w:pPr>
        <w:spacing w:after="60" w:line="276" w:lineRule="auto"/>
        <w:ind w:left="360"/>
        <w:rPr>
          <w:rFonts w:eastAsiaTheme="minorHAnsi" w:cs="Times New Roman"/>
          <w:i/>
          <w:lang w:val="fr-FR"/>
        </w:rPr>
      </w:pPr>
      <w:r w:rsidRPr="00825041">
        <w:rPr>
          <w:rFonts w:eastAsiaTheme="minorHAnsi" w:cs="Times New Roman"/>
          <w:i/>
          <w:iCs/>
          <w:lang w:val="fr"/>
        </w:rPr>
        <w:t>Emballage des produits du tabac – général</w:t>
      </w:r>
    </w:p>
    <w:p w14:paraId="0C21F130" w14:textId="6BD64213" w:rsidR="006F3982" w:rsidRPr="00825041" w:rsidRDefault="00026AB3" w:rsidP="00FE6B67">
      <w:pPr>
        <w:numPr>
          <w:ilvl w:val="0"/>
          <w:numId w:val="21"/>
        </w:numPr>
        <w:spacing w:after="60" w:line="276" w:lineRule="auto"/>
        <w:rPr>
          <w:rFonts w:eastAsiaTheme="minorHAnsi" w:cs="Times New Roman"/>
          <w:lang w:val="fr-FR"/>
        </w:rPr>
      </w:pPr>
      <w:r w:rsidRPr="00825041">
        <w:rPr>
          <w:lang w:val="fr"/>
        </w:rPr>
        <w:t xml:space="preserve"> </w:t>
      </w:r>
      <w:r w:rsidRPr="00825041">
        <w:rPr>
          <w:rFonts w:eastAsiaTheme="minorHAnsi" w:cs="Times New Roman"/>
          <w:lang w:val="fr"/>
        </w:rPr>
        <w:t>Une disposition visant à interdire l'utilisation de</w:t>
      </w:r>
      <w:r w:rsidRPr="00825041">
        <w:rPr>
          <w:rFonts w:eastAsiaTheme="minorHAnsi" w:cs="Times New Roman"/>
          <w:color w:val="000000"/>
          <w:lang w:val="fr"/>
        </w:rPr>
        <w:t>rebords décoratifs, de gaufrage, de bosses ou autres irrégularités en termes de forme ou de texture, ou tout autre procédé d'embellissement (sauf ceux autorisés par la réglementation) sur les surfaces externes et internes des paquets des produits du tabac.</w:t>
      </w:r>
    </w:p>
    <w:p w14:paraId="0D2E8386" w14:textId="77777777" w:rsidR="006F3982" w:rsidRPr="00825041" w:rsidRDefault="00026AB3" w:rsidP="00FE6B67">
      <w:pPr>
        <w:numPr>
          <w:ilvl w:val="0"/>
          <w:numId w:val="21"/>
        </w:numPr>
        <w:spacing w:after="60" w:line="276" w:lineRule="auto"/>
        <w:rPr>
          <w:rFonts w:eastAsiaTheme="minorHAnsi" w:cs="Times New Roman"/>
          <w:lang w:val="fr-FR"/>
        </w:rPr>
      </w:pPr>
      <w:r w:rsidRPr="00825041">
        <w:rPr>
          <w:rFonts w:eastAsiaTheme="minorHAnsi" w:cs="Times New Roman"/>
          <w:lang w:val="fr"/>
        </w:rPr>
        <w:t>Une disposition pour réglementer le recours à des colles colorées sur les emballages (seule une colle transparente devrait être autorisée).</w:t>
      </w:r>
    </w:p>
    <w:p w14:paraId="4C78714A" w14:textId="77777777" w:rsidR="006F3982" w:rsidRPr="00825041" w:rsidRDefault="006F3982" w:rsidP="00FE6B67">
      <w:pPr>
        <w:spacing w:after="60" w:line="276" w:lineRule="auto"/>
        <w:ind w:left="360"/>
        <w:rPr>
          <w:rFonts w:eastAsiaTheme="minorHAnsi" w:cs="Times New Roman"/>
          <w:i/>
        </w:rPr>
      </w:pPr>
      <w:r w:rsidRPr="00825041">
        <w:rPr>
          <w:rFonts w:eastAsiaTheme="minorHAnsi" w:cs="Times New Roman"/>
          <w:i/>
          <w:iCs/>
          <w:lang w:val="fr"/>
        </w:rPr>
        <w:t>Emballages des paquets de cigarette</w:t>
      </w:r>
    </w:p>
    <w:p w14:paraId="439EF3E8" w14:textId="15B1C1CD" w:rsidR="006F3982" w:rsidRPr="00825041" w:rsidRDefault="00026AB3" w:rsidP="00FE6B67">
      <w:pPr>
        <w:numPr>
          <w:ilvl w:val="0"/>
          <w:numId w:val="22"/>
        </w:numPr>
        <w:spacing w:after="60" w:line="276" w:lineRule="auto"/>
        <w:rPr>
          <w:rFonts w:eastAsiaTheme="minorHAnsi" w:cs="Times New Roman"/>
          <w:lang w:val="fr-FR"/>
        </w:rPr>
      </w:pPr>
      <w:r w:rsidRPr="00825041">
        <w:rPr>
          <w:rFonts w:eastAsiaTheme="minorHAnsi" w:cs="Times New Roman"/>
          <w:lang w:val="fr"/>
        </w:rPr>
        <w:t>Une disposition en vue de réglementer la taille, les dimensions et la matière utilisée pour les paquets et les cartouches de cigarettes.</w:t>
      </w:r>
    </w:p>
    <w:p w14:paraId="43FFE4D2" w14:textId="77777777" w:rsidR="006F3982" w:rsidRPr="00825041" w:rsidRDefault="006F3982" w:rsidP="00FE6B67">
      <w:pPr>
        <w:spacing w:after="60" w:line="276" w:lineRule="auto"/>
        <w:ind w:left="360"/>
        <w:rPr>
          <w:rFonts w:eastAsiaTheme="minorHAnsi" w:cs="Times New Roman"/>
          <w:i/>
        </w:rPr>
      </w:pPr>
      <w:r w:rsidRPr="00825041">
        <w:rPr>
          <w:rFonts w:eastAsiaTheme="minorHAnsi" w:cs="Times New Roman"/>
          <w:i/>
          <w:iCs/>
          <w:lang w:val="fr"/>
        </w:rPr>
        <w:t>Couleur des paquets</w:t>
      </w:r>
    </w:p>
    <w:p w14:paraId="4AFA2873" w14:textId="77777777" w:rsidR="006F3982" w:rsidRPr="00825041" w:rsidRDefault="00026AB3" w:rsidP="00FE6B67">
      <w:pPr>
        <w:numPr>
          <w:ilvl w:val="0"/>
          <w:numId w:val="23"/>
        </w:numPr>
        <w:spacing w:after="60" w:line="276" w:lineRule="auto"/>
        <w:ind w:left="1077" w:hanging="357"/>
        <w:contextualSpacing/>
        <w:rPr>
          <w:rFonts w:eastAsiaTheme="minorHAnsi" w:cs="Times New Roman"/>
          <w:lang w:val="fr-FR"/>
        </w:rPr>
      </w:pPr>
      <w:r w:rsidRPr="00825041">
        <w:rPr>
          <w:rFonts w:eastAsiaTheme="minorHAnsi" w:cs="Times New Roman"/>
          <w:lang w:val="fr"/>
        </w:rPr>
        <w:t>Une disposition en vue de réglementer la couleur et la finition des paquets (extérieur, intérieur et bordures) et la manière dont les mises en garde sanitaires et autres informations autorisées peuvent figurer sur les paquets.</w:t>
      </w:r>
    </w:p>
    <w:p w14:paraId="79EEADA6" w14:textId="77777777" w:rsidR="006F3982" w:rsidRPr="00825041" w:rsidRDefault="006F3982" w:rsidP="00FE6B67">
      <w:pPr>
        <w:spacing w:before="480" w:after="360" w:line="276" w:lineRule="auto"/>
        <w:jc w:val="center"/>
        <w:rPr>
          <w:rFonts w:eastAsiaTheme="minorHAnsi" w:cs="Times New Roman"/>
          <w:b/>
          <w:lang w:val="fr-FR"/>
        </w:rPr>
      </w:pPr>
      <w:r w:rsidRPr="00825041">
        <w:rPr>
          <w:rFonts w:eastAsiaTheme="minorHAnsi" w:cs="Times New Roman"/>
          <w:b/>
          <w:bCs/>
          <w:lang w:val="fr"/>
        </w:rPr>
        <w:t xml:space="preserve">3. VERSION PRÉLIMINAIRE DES DISPOSITIONS LÉGISLATIVES PROPOSÉES </w:t>
      </w:r>
      <w:r w:rsidRPr="00825041">
        <w:rPr>
          <w:rFonts w:eastAsiaTheme="minorHAnsi" w:cs="Times New Roman"/>
          <w:lang w:val="fr"/>
        </w:rPr>
        <w:br/>
      </w:r>
      <w:r w:rsidRPr="00825041">
        <w:rPr>
          <w:rFonts w:eastAsiaTheme="minorHAnsi" w:cs="Times New Roman"/>
          <w:b/>
          <w:bCs/>
          <w:lang w:val="fr"/>
        </w:rPr>
        <w:t>CONCERNANT L'EMBALLAGE ET L'ÉTIQUETAGE</w:t>
      </w:r>
    </w:p>
    <w:p w14:paraId="5488AC65" w14:textId="77777777" w:rsidR="006F3982" w:rsidRPr="00825041" w:rsidRDefault="006F3982" w:rsidP="00FE6B67">
      <w:pPr>
        <w:spacing w:after="60" w:line="276" w:lineRule="auto"/>
        <w:rPr>
          <w:rFonts w:eastAsia="Times New Roman" w:cs="Times New Roman"/>
          <w:b/>
          <w:i/>
          <w:lang w:val="fr-FR"/>
        </w:rPr>
      </w:pPr>
      <w:r w:rsidRPr="00825041">
        <w:rPr>
          <w:rFonts w:eastAsia="Times New Roman" w:cs="Times New Roman"/>
          <w:b/>
          <w:bCs/>
          <w:i/>
          <w:iCs/>
          <w:lang w:val="fr"/>
        </w:rPr>
        <w:t>3.1 Définitions</w:t>
      </w:r>
    </w:p>
    <w:p w14:paraId="1A4A7888" w14:textId="77777777" w:rsidR="00026AB3" w:rsidRPr="00825041" w:rsidRDefault="006F3982" w:rsidP="00FE6B67">
      <w:pPr>
        <w:spacing w:after="60" w:line="276" w:lineRule="auto"/>
        <w:rPr>
          <w:rFonts w:eastAsia="Times New Roman" w:cs="Times New Roman"/>
          <w:lang w:val="fr-FR"/>
        </w:rPr>
      </w:pPr>
      <w:r w:rsidRPr="00825041">
        <w:rPr>
          <w:rFonts w:eastAsia="Times New Roman" w:cs="Times New Roman"/>
          <w:lang w:val="fr"/>
        </w:rPr>
        <w:t>Parmi les termes techniques à définir figurent « les mises en garde ou messages sanitaires », « étiquetage », « paquet », et « moyens » dans le contexte de moyens qui sont faux, trompeurs ou prêtant à confusion.</w:t>
      </w:r>
    </w:p>
    <w:p w14:paraId="35FECB14" w14:textId="77777777" w:rsidR="006F3982" w:rsidRPr="00825041" w:rsidRDefault="006F3982" w:rsidP="00FE6B67">
      <w:pPr>
        <w:keepNext/>
        <w:keepLines/>
        <w:widowControl w:val="0"/>
        <w:tabs>
          <w:tab w:val="left" w:pos="1100"/>
        </w:tabs>
        <w:spacing w:after="60" w:line="276" w:lineRule="auto"/>
        <w:ind w:left="1100" w:hanging="1100"/>
        <w:outlineLvl w:val="4"/>
        <w:rPr>
          <w:rFonts w:eastAsia="Times New Roman" w:cs="Times New Roman"/>
          <w:b/>
          <w:i/>
          <w:lang w:val="fr-FR"/>
        </w:rPr>
      </w:pPr>
      <w:bookmarkStart w:id="3" w:name="_Toc523910659"/>
      <w:r w:rsidRPr="00825041">
        <w:rPr>
          <w:rFonts w:eastAsia="Times New Roman" w:cs="Times New Roman"/>
          <w:b/>
          <w:bCs/>
          <w:i/>
          <w:iCs/>
          <w:lang w:val="fr"/>
        </w:rPr>
        <w:t>3.2 Information sur l'emballage</w:t>
      </w:r>
      <w:bookmarkEnd w:id="3"/>
      <w:r w:rsidRPr="00825041">
        <w:rPr>
          <w:rFonts w:eastAsia="Times New Roman" w:cs="Times New Roman"/>
          <w:b/>
          <w:bCs/>
          <w:i/>
          <w:iCs/>
          <w:lang w:val="fr"/>
        </w:rPr>
        <w:t xml:space="preserve"> et l'étiquetage</w:t>
      </w:r>
    </w:p>
    <w:p w14:paraId="0AC197A9" w14:textId="77777777" w:rsidR="006F3982"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 xml:space="preserve"> 1</w:t>
      </w:r>
      <w:r w:rsidRPr="00825041">
        <w:rPr>
          <w:rFonts w:eastAsia="Times New Roman" w:cs="Times New Roman"/>
          <w:lang w:val="fr"/>
        </w:rPr>
        <w:tab/>
        <w:t>Une personne ne doit pas vendre de produit du tabac sauf dans les cas où le paquet ou son étiquetage mentionne tous les éléments suivants :</w:t>
      </w:r>
    </w:p>
    <w:p w14:paraId="3FE3D642" w14:textId="77777777" w:rsidR="006F3982" w:rsidRPr="00825041" w:rsidRDefault="006F3982" w:rsidP="00FE6B67">
      <w:pPr>
        <w:widowControl w:val="0"/>
        <w:tabs>
          <w:tab w:val="right" w:pos="1620"/>
        </w:tabs>
        <w:spacing w:after="60" w:line="276" w:lineRule="auto"/>
        <w:ind w:left="1710" w:hanging="720"/>
        <w:rPr>
          <w:rFonts w:eastAsia="Times New Roman" w:cs="Times New Roman"/>
          <w:lang w:val="fr-FR"/>
        </w:rPr>
      </w:pPr>
      <w:r w:rsidRPr="00825041">
        <w:rPr>
          <w:rFonts w:eastAsia="Times New Roman" w:cs="Times New Roman"/>
          <w:lang w:val="fr"/>
        </w:rPr>
        <w:t>(a)</w:t>
      </w:r>
      <w:r w:rsidRPr="00825041">
        <w:rPr>
          <w:rFonts w:eastAsia="Times New Roman" w:cs="Times New Roman"/>
          <w:lang w:val="fr"/>
        </w:rPr>
        <w:tab/>
      </w:r>
      <w:r w:rsidRPr="00825041">
        <w:rPr>
          <w:rFonts w:eastAsia="Times New Roman" w:cs="Times New Roman"/>
          <w:lang w:val="fr"/>
        </w:rPr>
        <w:tab/>
        <w:t>information sur les composants et les émissions du produit ainsi que toute autre question prescrite ; et</w:t>
      </w:r>
    </w:p>
    <w:p w14:paraId="229F6DBB" w14:textId="77777777" w:rsidR="006F3982" w:rsidRPr="00825041" w:rsidRDefault="006F3982" w:rsidP="00FE6B67">
      <w:pPr>
        <w:widowControl w:val="0"/>
        <w:tabs>
          <w:tab w:val="right" w:pos="1620"/>
        </w:tabs>
        <w:spacing w:after="60" w:line="276" w:lineRule="auto"/>
        <w:ind w:left="1710" w:hanging="720"/>
        <w:rPr>
          <w:rFonts w:eastAsia="Times New Roman" w:cs="Times New Roman"/>
          <w:lang w:val="fr-FR"/>
        </w:rPr>
      </w:pPr>
      <w:r w:rsidRPr="00825041">
        <w:rPr>
          <w:rFonts w:eastAsia="Times New Roman" w:cs="Times New Roman"/>
          <w:lang w:val="fr"/>
        </w:rPr>
        <w:t>(b)</w:t>
      </w:r>
      <w:r w:rsidRPr="00825041">
        <w:rPr>
          <w:rFonts w:eastAsia="Times New Roman" w:cs="Times New Roman"/>
          <w:lang w:val="fr"/>
        </w:rPr>
        <w:tab/>
      </w:r>
      <w:r w:rsidRPr="00825041">
        <w:rPr>
          <w:rFonts w:eastAsia="Times New Roman" w:cs="Times New Roman"/>
          <w:lang w:val="fr"/>
        </w:rPr>
        <w:tab/>
        <w:t>mises en garde ou messages de santé ; et</w:t>
      </w:r>
    </w:p>
    <w:p w14:paraId="59416AE9" w14:textId="77777777" w:rsidR="006F3982" w:rsidRPr="00825041" w:rsidRDefault="006F3982" w:rsidP="00FE6B67">
      <w:pPr>
        <w:widowControl w:val="0"/>
        <w:tabs>
          <w:tab w:val="right" w:pos="1620"/>
        </w:tabs>
        <w:spacing w:after="60" w:line="276" w:lineRule="auto"/>
        <w:ind w:left="1710" w:hanging="720"/>
        <w:rPr>
          <w:rFonts w:eastAsia="Times New Roman" w:cs="Times New Roman"/>
          <w:lang w:val="fr-FR"/>
        </w:rPr>
      </w:pPr>
      <w:r w:rsidRPr="00825041">
        <w:rPr>
          <w:rFonts w:eastAsia="Times New Roman" w:cs="Times New Roman"/>
          <w:lang w:val="fr"/>
        </w:rPr>
        <w:t>(c)</w:t>
      </w:r>
      <w:r w:rsidRPr="00825041">
        <w:rPr>
          <w:rFonts w:eastAsia="Times New Roman" w:cs="Times New Roman"/>
          <w:lang w:val="fr"/>
        </w:rPr>
        <w:tab/>
      </w:r>
      <w:r w:rsidRPr="00825041">
        <w:rPr>
          <w:rFonts w:eastAsia="Times New Roman" w:cs="Times New Roman"/>
          <w:lang w:val="fr"/>
        </w:rPr>
        <w:tab/>
        <w:t>une déclaration établissant [le nom du pays] ou d'un autre pays comme pays où devrait être écoulé le produit.</w:t>
      </w:r>
    </w:p>
    <w:p w14:paraId="3DAF4D87" w14:textId="77777777" w:rsidR="006F3982"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(2)</w:t>
      </w:r>
      <w:r w:rsidRPr="00825041">
        <w:rPr>
          <w:rFonts w:eastAsia="Times New Roman" w:cs="Times New Roman"/>
          <w:lang w:val="fr"/>
        </w:rPr>
        <w:tab/>
        <w:t>Le paquet ou l'étiquetage ne doivent pas exposer :</w:t>
      </w:r>
    </w:p>
    <w:p w14:paraId="093E0891" w14:textId="77777777" w:rsidR="00C655FD" w:rsidRPr="00825041" w:rsidRDefault="00C655FD" w:rsidP="00FE6B67">
      <w:pPr>
        <w:widowControl w:val="0"/>
        <w:spacing w:after="60" w:line="276" w:lineRule="auto"/>
        <w:ind w:left="1667" w:hanging="677"/>
        <w:rPr>
          <w:rFonts w:eastAsia="Times New Roman" w:cs="Times New Roman"/>
          <w:lang w:val="fr-FR"/>
        </w:rPr>
      </w:pPr>
      <w:r w:rsidRPr="00825041">
        <w:rPr>
          <w:rFonts w:eastAsia="Times New Roman" w:cs="Times New Roman"/>
          <w:lang w:val="fr"/>
        </w:rPr>
        <w:t>(a)</w:t>
      </w:r>
      <w:r w:rsidRPr="00825041">
        <w:rPr>
          <w:rFonts w:eastAsia="Times New Roman" w:cs="Times New Roman"/>
          <w:lang w:val="fr"/>
        </w:rPr>
        <w:tab/>
        <w:t>un quelconque chiffre sur la teneur des émissions, telles que le goudron, la nicotine ou le monoxyde de carbone ; ou</w:t>
      </w:r>
    </w:p>
    <w:p w14:paraId="2BDB51F5" w14:textId="77777777" w:rsidR="00C655FD" w:rsidRPr="00825041" w:rsidRDefault="00C655FD" w:rsidP="00FE6B67">
      <w:pPr>
        <w:widowControl w:val="0"/>
        <w:spacing w:after="60" w:line="276" w:lineRule="auto"/>
        <w:ind w:left="1667" w:hanging="677"/>
        <w:rPr>
          <w:rFonts w:eastAsia="Times New Roman" w:cs="Times New Roman"/>
          <w:lang w:val="fr-FR"/>
        </w:rPr>
      </w:pPr>
      <w:r w:rsidRPr="00825041">
        <w:rPr>
          <w:rFonts w:eastAsia="Times New Roman" w:cs="Times New Roman"/>
          <w:lang w:val="fr"/>
        </w:rPr>
        <w:t>(b)</w:t>
      </w:r>
      <w:r w:rsidRPr="00825041">
        <w:rPr>
          <w:rFonts w:eastAsia="Times New Roman" w:cs="Times New Roman"/>
          <w:lang w:val="fr"/>
        </w:rPr>
        <w:tab/>
        <w:t>une quelconque date d'expiration ou date limite d'utilisation optimale.</w:t>
      </w:r>
    </w:p>
    <w:p w14:paraId="17E3EF16" w14:textId="77777777" w:rsidR="00C655FD" w:rsidRPr="00825041" w:rsidRDefault="00C655FD"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(3)</w:t>
      </w:r>
      <w:r w:rsidRPr="00825041">
        <w:rPr>
          <w:rFonts w:eastAsia="Times New Roman" w:cs="Times New Roman"/>
          <w:lang w:val="fr"/>
        </w:rPr>
        <w:tab/>
        <w:t>Le fabricant, l'importateur ou le détaillant est responsable des coûts liés à l'emballage, l'étiquetage et les mises en garde et messages de santé sur les produits du tabac.</w:t>
      </w:r>
    </w:p>
    <w:p w14:paraId="1E57D29F" w14:textId="77777777" w:rsidR="006F3982"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(4)</w:t>
      </w:r>
      <w:r w:rsidRPr="00825041">
        <w:rPr>
          <w:rFonts w:eastAsia="Times New Roman" w:cs="Times New Roman"/>
          <w:lang w:val="fr"/>
        </w:rPr>
        <w:tab/>
      </w:r>
      <w:r w:rsidRPr="00825041">
        <w:rPr>
          <w:rFonts w:eastAsia="Times New Roman" w:cs="Times New Roman"/>
          <w:lang w:val="fr"/>
        </w:rPr>
        <w:tab/>
        <w:t>Une personne qui contrevient à la sous-section 1 commet une infraction [+ pénalité</w:t>
      </w:r>
      <w:bookmarkStart w:id="4" w:name="_Ref9060378"/>
      <w:r w:rsidRPr="00825041">
        <w:rPr>
          <w:rFonts w:eastAsia="Times New Roman" w:cs="Times New Roman"/>
          <w:vertAlign w:val="superscript"/>
          <w:lang w:val="fr"/>
        </w:rPr>
        <w:footnoteReference w:id="3"/>
      </w:r>
      <w:bookmarkEnd w:id="4"/>
      <w:r w:rsidRPr="00825041">
        <w:rPr>
          <w:rFonts w:eastAsia="Times New Roman" w:cs="Times New Roman"/>
          <w:lang w:val="fr"/>
        </w:rPr>
        <w:t>].</w:t>
      </w:r>
    </w:p>
    <w:p w14:paraId="2A37D702" w14:textId="77777777" w:rsidR="00026AB3"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(5)</w:t>
      </w:r>
      <w:r w:rsidRPr="00825041">
        <w:rPr>
          <w:rFonts w:eastAsia="Times New Roman" w:cs="Times New Roman"/>
          <w:lang w:val="fr"/>
        </w:rPr>
        <w:tab/>
        <w:t>Un fabricant ou importateur/exportateur commet une infraction si n'est pas mentionné sur le paquet ou étiquetage du produit du tabac fabriqué ou importé/exporté le nom du [pays</w:t>
      </w:r>
      <w:proofErr w:type="gramStart"/>
      <w:r w:rsidRPr="00825041">
        <w:rPr>
          <w:rFonts w:eastAsia="Times New Roman" w:cs="Times New Roman"/>
          <w:lang w:val="fr"/>
        </w:rPr>
        <w:t>]ou</w:t>
      </w:r>
      <w:proofErr w:type="gramEnd"/>
      <w:r w:rsidRPr="00825041">
        <w:rPr>
          <w:rFonts w:eastAsia="Times New Roman" w:cs="Times New Roman"/>
          <w:lang w:val="fr"/>
        </w:rPr>
        <w:t xml:space="preserve"> autre pays de vente prévu sur le produit du tabac [+pénalité NOTEREF _Ref9060378 \h  \* MERGEFORMAT </w:t>
      </w:r>
      <w:r w:rsidRPr="00825041">
        <w:rPr>
          <w:rFonts w:eastAsia="Times New Roman" w:cs="Times New Roman"/>
          <w:vertAlign w:val="superscript"/>
          <w:lang w:val="fr"/>
        </w:rPr>
        <w:t>3</w:t>
      </w:r>
      <w:r w:rsidRPr="00825041">
        <w:rPr>
          <w:rFonts w:eastAsia="Times New Roman" w:cs="Times New Roman"/>
          <w:lang w:val="fr"/>
        </w:rPr>
        <w:t>].</w:t>
      </w:r>
    </w:p>
    <w:p w14:paraId="3B4038E0" w14:textId="77777777" w:rsidR="006F3982" w:rsidRPr="00825041" w:rsidRDefault="006F3982" w:rsidP="00FE6B67">
      <w:pPr>
        <w:keepNext/>
        <w:keepLines/>
        <w:widowControl w:val="0"/>
        <w:tabs>
          <w:tab w:val="left" w:pos="1100"/>
        </w:tabs>
        <w:spacing w:after="60" w:line="276" w:lineRule="auto"/>
        <w:outlineLvl w:val="4"/>
        <w:rPr>
          <w:rFonts w:eastAsia="Times New Roman" w:cs="Times New Roman"/>
          <w:b/>
          <w:i/>
          <w:lang w:val="fr-FR"/>
        </w:rPr>
      </w:pPr>
      <w:bookmarkStart w:id="5" w:name="_Toc523910662"/>
      <w:r w:rsidRPr="00825041">
        <w:rPr>
          <w:rFonts w:eastAsia="Times New Roman" w:cs="Times New Roman"/>
          <w:b/>
          <w:bCs/>
          <w:i/>
          <w:iCs/>
          <w:lang w:val="fr"/>
        </w:rPr>
        <w:t>3.3 Emballage et étiquetage faux, trompeur ou prêtant à confusion</w:t>
      </w:r>
      <w:bookmarkEnd w:id="5"/>
    </w:p>
    <w:p w14:paraId="29D2B85A" w14:textId="77777777" w:rsidR="006F3982"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(1)</w:t>
      </w:r>
      <w:r w:rsidRPr="00825041">
        <w:rPr>
          <w:rFonts w:eastAsia="Times New Roman" w:cs="Times New Roman"/>
          <w:lang w:val="fr"/>
        </w:rPr>
        <w:tab/>
        <w:t>Une personne commet une infraction lorsque les paquets ou étiquetages d'un produit du tabac assurent sa promotion par des moyens :</w:t>
      </w:r>
    </w:p>
    <w:p w14:paraId="13F71968" w14:textId="6F6B2A21" w:rsidR="006F3982" w:rsidRPr="00825041" w:rsidRDefault="00A17F24"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(a)</w:t>
      </w:r>
      <w:r w:rsidRPr="00825041">
        <w:rPr>
          <w:rFonts w:eastAsia="Times New Roman" w:cs="Times New Roman"/>
          <w:lang w:val="fr"/>
        </w:rPr>
        <w:tab/>
        <w:t>faux, trompeurs ou prêtant à confusion</w:t>
      </w:r>
      <w:r w:rsidR="009032DD" w:rsidRPr="00825041">
        <w:rPr>
          <w:rFonts w:eastAsia="Times New Roman" w:cs="Times New Roman"/>
          <w:lang w:val="fr"/>
        </w:rPr>
        <w:t> </w:t>
      </w:r>
      <w:r w:rsidRPr="00825041">
        <w:rPr>
          <w:rFonts w:eastAsia="Times New Roman" w:cs="Times New Roman"/>
          <w:lang w:val="fr"/>
        </w:rPr>
        <w:t>; ou</w:t>
      </w:r>
    </w:p>
    <w:p w14:paraId="099673EA" w14:textId="77777777" w:rsidR="006F3982" w:rsidRPr="00825041" w:rsidRDefault="00C655FD"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(b)</w:t>
      </w:r>
      <w:r w:rsidRPr="00825041">
        <w:rPr>
          <w:rFonts w:eastAsia="Times New Roman" w:cs="Times New Roman"/>
          <w:lang w:val="fr"/>
        </w:rPr>
        <w:tab/>
        <w:t>qui vont probablement créer une impression erronée ou fausse quant aux caractéristiques, effets sur la santé, dangers, ou émissions du produit du tabac.</w:t>
      </w:r>
    </w:p>
    <w:p w14:paraId="6BE99645" w14:textId="77777777" w:rsidR="00C655FD"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(2)</w:t>
      </w:r>
      <w:r w:rsidRPr="00825041">
        <w:rPr>
          <w:rFonts w:eastAsia="Times New Roman" w:cs="Times New Roman"/>
          <w:lang w:val="fr"/>
        </w:rPr>
        <w:tab/>
        <w:t>Une personne qui est reconnue coupable d'une infraction en vertu de la sous-section (1</w:t>
      </w:r>
      <w:proofErr w:type="gramStart"/>
      <w:r w:rsidRPr="00825041">
        <w:rPr>
          <w:rFonts w:eastAsia="Times New Roman" w:cs="Times New Roman"/>
          <w:lang w:val="fr"/>
        </w:rPr>
        <w:t>)[</w:t>
      </w:r>
      <w:proofErr w:type="gramEnd"/>
      <w:r w:rsidRPr="00825041">
        <w:rPr>
          <w:rFonts w:eastAsia="Times New Roman" w:cs="Times New Roman"/>
          <w:lang w:val="fr"/>
        </w:rPr>
        <w:t>+ pénalité</w:t>
      </w:r>
      <w:r w:rsidRPr="00825041">
        <w:rPr>
          <w:rFonts w:eastAsia="Times New Roman" w:cs="Times New Roman"/>
          <w:lang w:val="fr"/>
        </w:rPr>
        <w:fldChar w:fldCharType="begin"/>
      </w:r>
      <w:r w:rsidRPr="00825041">
        <w:rPr>
          <w:rFonts w:eastAsia="Times New Roman" w:cs="Times New Roman"/>
          <w:lang w:val="fr"/>
        </w:rPr>
        <w:instrText xml:space="preserve"> NOTEREF _Ref9060378 \h  \* MERGEFORMAT </w:instrText>
      </w:r>
      <w:r w:rsidRPr="00825041">
        <w:rPr>
          <w:rFonts w:eastAsia="Times New Roman" w:cs="Times New Roman"/>
          <w:lang w:val="fr"/>
        </w:rPr>
      </w:r>
      <w:r w:rsidRPr="00825041">
        <w:rPr>
          <w:rFonts w:eastAsia="Times New Roman" w:cs="Times New Roman"/>
          <w:lang w:val="fr"/>
        </w:rPr>
        <w:fldChar w:fldCharType="separate"/>
      </w:r>
      <w:r w:rsidR="006E2FF3" w:rsidRPr="006E2FF3">
        <w:rPr>
          <w:rFonts w:eastAsia="Times New Roman" w:cs="Times New Roman"/>
          <w:vertAlign w:val="superscript"/>
          <w:lang w:val="fr"/>
        </w:rPr>
        <w:t>3</w:t>
      </w:r>
      <w:r w:rsidRPr="00825041">
        <w:rPr>
          <w:rFonts w:eastAsia="Times New Roman" w:cs="Times New Roman"/>
          <w:lang w:val="fr"/>
        </w:rPr>
        <w:fldChar w:fldCharType="end"/>
      </w:r>
      <w:r w:rsidRPr="00825041">
        <w:rPr>
          <w:rFonts w:eastAsia="Times New Roman" w:cs="Times New Roman"/>
          <w:lang w:val="fr"/>
        </w:rPr>
        <w:t>].</w:t>
      </w:r>
    </w:p>
    <w:p w14:paraId="7B36D318" w14:textId="77777777" w:rsidR="006F3982" w:rsidRPr="00825041" w:rsidRDefault="006F3982" w:rsidP="00FE6B67">
      <w:pPr>
        <w:keepNext/>
        <w:keepLines/>
        <w:widowControl w:val="0"/>
        <w:tabs>
          <w:tab w:val="left" w:pos="1100"/>
        </w:tabs>
        <w:spacing w:after="60" w:line="276" w:lineRule="auto"/>
        <w:ind w:left="1100" w:hanging="1100"/>
        <w:outlineLvl w:val="4"/>
        <w:rPr>
          <w:rFonts w:eastAsia="Times New Roman" w:cs="Times New Roman"/>
          <w:b/>
          <w:i/>
          <w:lang w:val="fr-FR"/>
        </w:rPr>
      </w:pPr>
      <w:bookmarkStart w:id="6" w:name="_Toc523910663"/>
      <w:r w:rsidRPr="00825041">
        <w:rPr>
          <w:rFonts w:eastAsia="Times New Roman" w:cs="Times New Roman"/>
          <w:b/>
          <w:bCs/>
          <w:i/>
          <w:iCs/>
          <w:lang w:val="fr"/>
        </w:rPr>
        <w:t>3.4 Mises en garde et messages de santé</w:t>
      </w:r>
      <w:bookmarkEnd w:id="6"/>
    </w:p>
    <w:p w14:paraId="014D2DA5" w14:textId="47D3F714" w:rsidR="006F3982" w:rsidRPr="00825041" w:rsidRDefault="008B4C63" w:rsidP="00FE6B67">
      <w:pPr>
        <w:widowControl w:val="0"/>
        <w:tabs>
          <w:tab w:val="right" w:pos="902"/>
        </w:tabs>
        <w:spacing w:after="60" w:line="276" w:lineRule="auto"/>
        <w:ind w:left="811" w:hanging="451"/>
        <w:rPr>
          <w:rFonts w:eastAsia="Times New Roman" w:cs="Times New Roman"/>
          <w:lang w:val="fr-FR"/>
        </w:rPr>
      </w:pPr>
      <w:r w:rsidRPr="00825041">
        <w:rPr>
          <w:rFonts w:eastAsia="Times New Roman" w:cs="Times New Roman"/>
          <w:lang w:val="fr"/>
        </w:rPr>
        <w:t>(1)</w:t>
      </w:r>
      <w:r w:rsidRPr="00825041">
        <w:rPr>
          <w:rFonts w:eastAsia="Times New Roman" w:cs="Times New Roman"/>
          <w:lang w:val="fr"/>
        </w:rPr>
        <w:tab/>
        <w:t>Une personne ne doit pas vendre un produit du tabac sur lequel ne figurent pas d'informations relatives aux mises en garde et messages de santé au niveau de l'emballage ou de l'étiquetage.</w:t>
      </w:r>
    </w:p>
    <w:p w14:paraId="08DCB20A" w14:textId="77777777" w:rsidR="006F3982" w:rsidRPr="00825041" w:rsidRDefault="006F3982" w:rsidP="00FE6B67">
      <w:pPr>
        <w:widowControl w:val="0"/>
        <w:tabs>
          <w:tab w:val="right" w:pos="900"/>
        </w:tabs>
        <w:spacing w:after="60" w:line="276" w:lineRule="auto"/>
        <w:ind w:left="810" w:hanging="451"/>
        <w:rPr>
          <w:rFonts w:eastAsia="Times New Roman" w:cs="Times New Roman"/>
          <w:lang w:val="fr-FR"/>
        </w:rPr>
      </w:pPr>
      <w:r w:rsidRPr="00825041">
        <w:rPr>
          <w:rFonts w:eastAsia="Times New Roman" w:cs="Times New Roman"/>
          <w:lang w:val="fr"/>
        </w:rPr>
        <w:t>(2)</w:t>
      </w:r>
      <w:r w:rsidRPr="00825041">
        <w:rPr>
          <w:rFonts w:eastAsia="Times New Roman" w:cs="Times New Roman"/>
          <w:lang w:val="fr"/>
        </w:rPr>
        <w:tab/>
        <w:t>La mise en garde ou le message exige de :</w:t>
      </w:r>
    </w:p>
    <w:p w14:paraId="15A6EBB9" w14:textId="77777777" w:rsidR="006F3982" w:rsidRPr="00825041" w:rsidRDefault="006F3982"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(a)</w:t>
      </w:r>
      <w:r w:rsidRPr="00825041">
        <w:rPr>
          <w:rFonts w:eastAsia="Times New Roman" w:cs="Times New Roman"/>
          <w:lang w:val="fr"/>
        </w:rPr>
        <w:tab/>
        <w:t xml:space="preserve"> être présentés sous une forme [prescrite/convenue] ; </w:t>
      </w:r>
    </w:p>
    <w:p w14:paraId="3FADDF21" w14:textId="77777777" w:rsidR="006F3982" w:rsidRPr="00825041" w:rsidRDefault="006F3982"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(b)</w:t>
      </w:r>
      <w:r w:rsidRPr="00825041">
        <w:rPr>
          <w:rFonts w:eastAsia="Times New Roman" w:cs="Times New Roman"/>
          <w:lang w:val="fr"/>
        </w:rPr>
        <w:tab/>
        <w:t>apparaître dans [XXX]langues ;</w:t>
      </w:r>
    </w:p>
    <w:p w14:paraId="0C55B8B1" w14:textId="77777777" w:rsidR="006F3982" w:rsidRPr="00825041" w:rsidRDefault="006F3982"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(c)</w:t>
      </w:r>
      <w:r w:rsidRPr="00825041">
        <w:rPr>
          <w:rFonts w:eastAsia="Times New Roman" w:cs="Times New Roman"/>
          <w:lang w:val="fr"/>
        </w:rPr>
        <w:tab/>
        <w:t xml:space="preserve">être tournant, large, clair, visible et lisible ; </w:t>
      </w:r>
    </w:p>
    <w:p w14:paraId="4F9B02DD" w14:textId="77777777" w:rsidR="006F3982" w:rsidRPr="00825041" w:rsidRDefault="006F3982"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(d)</w:t>
      </w:r>
      <w:r w:rsidRPr="00825041">
        <w:rPr>
          <w:rFonts w:eastAsia="Times New Roman" w:cs="Times New Roman"/>
          <w:lang w:val="fr"/>
        </w:rPr>
        <w:tab/>
        <w:t>représenter au moins [XX%](mais pas moins que [XX%]) de la surface principale d'exposition) ; et</w:t>
      </w:r>
    </w:p>
    <w:p w14:paraId="08C9CAB4" w14:textId="77777777" w:rsidR="006F3982" w:rsidRPr="00825041" w:rsidRDefault="006F3982" w:rsidP="00FE6B67">
      <w:pPr>
        <w:widowControl w:val="0"/>
        <w:spacing w:after="60" w:line="276" w:lineRule="auto"/>
        <w:ind w:left="1667" w:hanging="567"/>
        <w:rPr>
          <w:rFonts w:eastAsia="Times New Roman" w:cs="Times New Roman"/>
          <w:lang w:val="fr-FR"/>
        </w:rPr>
      </w:pPr>
      <w:r w:rsidRPr="00825041">
        <w:rPr>
          <w:rFonts w:eastAsia="Times New Roman" w:cs="Times New Roman"/>
          <w:lang w:val="fr"/>
        </w:rPr>
        <w:t>(e)</w:t>
      </w:r>
      <w:r w:rsidRPr="00825041">
        <w:rPr>
          <w:rFonts w:eastAsia="Times New Roman" w:cs="Times New Roman"/>
          <w:lang w:val="fr"/>
        </w:rPr>
        <w:tab/>
        <w:t>respecter la réglementation sur la conception et autres caractéristiques relatives aux mises en garde et messages de santé.</w:t>
      </w:r>
    </w:p>
    <w:p w14:paraId="40721CE1" w14:textId="77777777" w:rsidR="006F3982"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(3)</w:t>
      </w:r>
      <w:r w:rsidRPr="00825041">
        <w:rPr>
          <w:rFonts w:eastAsia="Times New Roman" w:cs="Times New Roman"/>
          <w:lang w:val="fr"/>
        </w:rPr>
        <w:tab/>
        <w:t>L'État détient les droits d'auteur ou de propriété de tout support visuel utilisé sur les mises en garde et messages de santé.</w:t>
      </w:r>
    </w:p>
    <w:p w14:paraId="74CAB422" w14:textId="77777777" w:rsidR="00C655FD" w:rsidRPr="00825041" w:rsidRDefault="006F3982" w:rsidP="00FE6B67">
      <w:pPr>
        <w:widowControl w:val="0"/>
        <w:tabs>
          <w:tab w:val="right" w:pos="902"/>
        </w:tabs>
        <w:spacing w:after="60" w:line="276" w:lineRule="auto"/>
        <w:ind w:left="900" w:hanging="540"/>
        <w:rPr>
          <w:rFonts w:eastAsia="Times New Roman" w:cs="Times New Roman"/>
          <w:lang w:val="fr-FR"/>
        </w:rPr>
      </w:pPr>
      <w:r w:rsidRPr="00825041">
        <w:rPr>
          <w:rFonts w:eastAsia="Times New Roman" w:cs="Times New Roman"/>
          <w:lang w:val="fr"/>
        </w:rPr>
        <w:t>(4)</w:t>
      </w:r>
      <w:r w:rsidRPr="00825041">
        <w:rPr>
          <w:rFonts w:eastAsia="Times New Roman" w:cs="Times New Roman"/>
          <w:lang w:val="fr"/>
        </w:rPr>
        <w:tab/>
        <w:t>Une personne commet une infraction lorsqu'elle contrevient à la sous-section (1) or (2) [+ pénalité</w:t>
      </w:r>
      <w:r w:rsidRPr="00825041">
        <w:rPr>
          <w:rFonts w:eastAsia="Times New Roman" w:cs="Times New Roman"/>
          <w:lang w:val="fr"/>
        </w:rPr>
        <w:fldChar w:fldCharType="begin"/>
      </w:r>
      <w:r w:rsidRPr="00825041">
        <w:rPr>
          <w:rFonts w:eastAsia="Times New Roman" w:cs="Times New Roman"/>
          <w:lang w:val="fr"/>
        </w:rPr>
        <w:instrText xml:space="preserve"> NOTEREF _Ref9060378 \h  \* MERGEFORMAT </w:instrText>
      </w:r>
      <w:r w:rsidRPr="00825041">
        <w:rPr>
          <w:rFonts w:eastAsia="Times New Roman" w:cs="Times New Roman"/>
          <w:lang w:val="fr"/>
        </w:rPr>
      </w:r>
      <w:r w:rsidRPr="00825041">
        <w:rPr>
          <w:rFonts w:eastAsia="Times New Roman" w:cs="Times New Roman"/>
          <w:lang w:val="fr"/>
        </w:rPr>
        <w:fldChar w:fldCharType="separate"/>
      </w:r>
      <w:r w:rsidR="006E2FF3" w:rsidRPr="006E2FF3">
        <w:rPr>
          <w:rFonts w:eastAsia="Times New Roman" w:cs="Times New Roman"/>
          <w:vertAlign w:val="superscript"/>
          <w:lang w:val="fr"/>
        </w:rPr>
        <w:t>3</w:t>
      </w:r>
      <w:r w:rsidRPr="00825041">
        <w:rPr>
          <w:rFonts w:eastAsia="Times New Roman" w:cs="Times New Roman"/>
          <w:lang w:val="fr"/>
        </w:rPr>
        <w:fldChar w:fldCharType="end"/>
      </w:r>
      <w:r w:rsidRPr="00825041">
        <w:rPr>
          <w:rFonts w:eastAsia="Times New Roman" w:cs="Times New Roman"/>
          <w:lang w:val="fr"/>
        </w:rPr>
        <w:t>].</w:t>
      </w:r>
    </w:p>
    <w:p w14:paraId="1F6D78BC" w14:textId="77777777" w:rsidR="006F3982" w:rsidRPr="00825041" w:rsidRDefault="006F3982" w:rsidP="00FE6B67">
      <w:pPr>
        <w:spacing w:after="60" w:line="276" w:lineRule="auto"/>
        <w:rPr>
          <w:rFonts w:eastAsiaTheme="minorHAnsi" w:cs="Times New Roman"/>
          <w:b/>
          <w:i/>
          <w:lang w:val="fr-FR"/>
        </w:rPr>
      </w:pPr>
      <w:r w:rsidRPr="00825041">
        <w:rPr>
          <w:rFonts w:eastAsiaTheme="minorHAnsi" w:cs="Times New Roman"/>
          <w:b/>
          <w:bCs/>
          <w:i/>
          <w:iCs/>
          <w:lang w:val="fr"/>
        </w:rPr>
        <w:t>3.5 Emballages neutres (dispositions principales en vertu de la législation australienne)</w:t>
      </w:r>
    </w:p>
    <w:p w14:paraId="45BD8BDA" w14:textId="77777777" w:rsidR="006F3982" w:rsidRPr="00825041" w:rsidRDefault="006F3982" w:rsidP="00FE6B67">
      <w:pPr>
        <w:keepNext/>
        <w:spacing w:after="60" w:line="276" w:lineRule="auto"/>
        <w:ind w:firstLine="720"/>
        <w:rPr>
          <w:rFonts w:eastAsia="Times New Roman" w:cs="Times New Roman"/>
          <w:b/>
          <w:iCs/>
          <w:color w:val="000000"/>
          <w:lang w:val="fr-FR"/>
        </w:rPr>
      </w:pPr>
      <w:r w:rsidRPr="00825041">
        <w:rPr>
          <w:rFonts w:eastAsia="Times New Roman" w:cs="Times New Roman"/>
          <w:b/>
          <w:bCs/>
          <w:color w:val="000000"/>
          <w:lang w:val="fr"/>
        </w:rPr>
        <w:t>Emballage de vente au détail de tous les produits du tabac</w:t>
      </w:r>
    </w:p>
    <w:p w14:paraId="13AB15F2"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color w:val="000000"/>
          <w:lang w:val="fr"/>
        </w:rPr>
        <w:t>             (1) L'emballage de vente au détail des produits du tabac doit être conforme aux exigences suivantes :</w:t>
      </w:r>
    </w:p>
    <w:p w14:paraId="2575A009" w14:textId="77777777" w:rsidR="006F3982" w:rsidRPr="00825041" w:rsidRDefault="00C655FD"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w:t>
      </w:r>
      <w:r w:rsidRPr="00825041">
        <w:rPr>
          <w:rFonts w:eastAsia="Times New Roman" w:cs="Times New Roman"/>
          <w:color w:val="000000"/>
          <w:lang w:val="fr"/>
        </w:rPr>
        <w:tab/>
        <w:t xml:space="preserve"> Les surfaces externes et internes de l'emballage ne doivent pas comporter de rebords décoratifs, de gaufrage, de bosses, d'embellissement ou autres irrégularités de forme ou de texture, autres qu'autorisés par la réglementation.</w:t>
      </w:r>
    </w:p>
    <w:p w14:paraId="2C8938CF" w14:textId="07868CA6" w:rsidR="00C655FD" w:rsidRPr="00825041" w:rsidRDefault="006F3982" w:rsidP="00FE6B67">
      <w:pPr>
        <w:spacing w:after="60" w:line="276" w:lineRule="auto"/>
        <w:ind w:left="1644" w:hanging="1644"/>
        <w:rPr>
          <w:rFonts w:eastAsia="Times New Roman" w:cs="Times New Roman"/>
          <w:b/>
          <w:iCs/>
          <w:color w:val="000000"/>
          <w:lang w:val="fr-FR"/>
        </w:rPr>
      </w:pPr>
      <w:r w:rsidRPr="00825041">
        <w:rPr>
          <w:rFonts w:eastAsia="Times New Roman" w:cs="Times New Roman"/>
          <w:color w:val="000000"/>
          <w:lang w:val="fr"/>
        </w:rPr>
        <w:t>                     (b)</w:t>
      </w:r>
      <w:r w:rsidRPr="00825041">
        <w:rPr>
          <w:rFonts w:eastAsia="Times New Roman" w:cs="Times New Roman"/>
          <w:color w:val="000000"/>
          <w:lang w:val="fr"/>
        </w:rPr>
        <w:tab/>
        <w:t>Toute colle ou autre substance adhésive utilisée dans la fabrication de l'emballage doit être transparente et pas colorée.</w:t>
      </w:r>
    </w:p>
    <w:p w14:paraId="2755383D" w14:textId="77777777" w:rsidR="006F3982" w:rsidRPr="00825041" w:rsidRDefault="006F3982" w:rsidP="00FE6B67">
      <w:pPr>
        <w:keepNext/>
        <w:spacing w:after="60" w:line="276" w:lineRule="auto"/>
        <w:ind w:firstLine="720"/>
        <w:rPr>
          <w:rFonts w:eastAsia="Times New Roman" w:cs="Times New Roman"/>
          <w:b/>
          <w:iCs/>
          <w:color w:val="000000"/>
          <w:lang w:val="fr-FR"/>
        </w:rPr>
      </w:pPr>
      <w:r w:rsidRPr="00825041">
        <w:rPr>
          <w:rFonts w:eastAsia="Times New Roman" w:cs="Times New Roman"/>
          <w:b/>
          <w:bCs/>
          <w:color w:val="000000"/>
          <w:lang w:val="fr"/>
        </w:rPr>
        <w:t>Paquets et cartouches de cigarettes</w:t>
      </w:r>
    </w:p>
    <w:p w14:paraId="0B5B4A3D"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color w:val="000000"/>
          <w:lang w:val="fr"/>
        </w:rPr>
        <w:t>             (2) Un paquet ou une cartouche de cigarette doit être conforme aux exigences suivantes :</w:t>
      </w:r>
    </w:p>
    <w:p w14:paraId="483BC3FA"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w:t>
      </w:r>
      <w:r w:rsidRPr="00825041">
        <w:rPr>
          <w:rFonts w:eastAsia="Times New Roman" w:cs="Times New Roman"/>
          <w:color w:val="000000"/>
          <w:lang w:val="fr"/>
        </w:rPr>
        <w:tab/>
        <w:t xml:space="preserve"> Le paquet ou la cartouche doit être rigide et fabriqué uniquement à base de carton (en vertu des sous-sections (1) (b) et (3)(d)).</w:t>
      </w:r>
    </w:p>
    <w:p w14:paraId="37DA220A"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(b)</w:t>
      </w:r>
      <w:r w:rsidRPr="00825041">
        <w:rPr>
          <w:rFonts w:eastAsia="Times New Roman" w:cs="Times New Roman"/>
          <w:color w:val="000000"/>
          <w:lang w:val="fr"/>
        </w:rPr>
        <w:tab/>
        <w:t>Lorsque le paquet ou la cartouche sont fermés :</w:t>
      </w:r>
    </w:p>
    <w:p w14:paraId="4658B9C4"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xml:space="preserve">                              </w:t>
      </w:r>
      <w:r w:rsidRPr="00825041">
        <w:rPr>
          <w:rFonts w:eastAsia="Times New Roman" w:cs="Times New Roman"/>
          <w:color w:val="000000"/>
          <w:lang w:val="fr"/>
        </w:rPr>
        <w:tab/>
        <w:t>(i) la surface extérieure du paquet ou de la cartouche doit être rectangulaire ; et</w:t>
      </w:r>
    </w:p>
    <w:p w14:paraId="54DB6FC4"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w:t>
      </w:r>
      <w:r w:rsidRPr="00825041">
        <w:rPr>
          <w:rFonts w:eastAsia="Times New Roman" w:cs="Times New Roman"/>
          <w:color w:val="000000"/>
          <w:lang w:val="fr"/>
        </w:rPr>
        <w:tab/>
        <w:t>(ii) les surfaces du paquet ou de la cartouche doivent se rejoindre en formant un angle de 90 degrés.</w:t>
      </w:r>
    </w:p>
    <w:p w14:paraId="015B8AB3"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(c)</w:t>
      </w:r>
      <w:r w:rsidRPr="00825041">
        <w:rPr>
          <w:rFonts w:eastAsia="Times New Roman" w:cs="Times New Roman"/>
          <w:color w:val="000000"/>
          <w:lang w:val="fr"/>
        </w:rPr>
        <w:tab/>
        <w:t xml:space="preserve"> Tous les rebords du paquet ou de la cartouche doivent être rigides, droits et pas arrondis ni biseautés, ni d'une autre forme ni embellis de quelque manière que ce soit, autre qu'autorisé par la réglementation.</w:t>
      </w:r>
    </w:p>
    <w:p w14:paraId="2FE495FF"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color w:val="000000"/>
          <w:lang w:val="fr"/>
        </w:rPr>
        <w:t>             (3) Un paquet de cigarette doit être conforme aux exigences suivantes :</w:t>
      </w:r>
    </w:p>
    <w:p w14:paraId="6F5B2E7A"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w:t>
      </w:r>
      <w:r w:rsidRPr="00825041">
        <w:rPr>
          <w:rFonts w:eastAsia="Times New Roman" w:cs="Times New Roman"/>
          <w:color w:val="000000"/>
          <w:lang w:val="fr"/>
        </w:rPr>
        <w:tab/>
        <w:t>Les dimensions du paquet doivent être conformes aux exigences prescrites par la réglementation.</w:t>
      </w:r>
    </w:p>
    <w:p w14:paraId="1812F7AB"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(b)</w:t>
      </w:r>
      <w:r w:rsidRPr="00825041">
        <w:rPr>
          <w:rFonts w:eastAsia="Times New Roman" w:cs="Times New Roman"/>
          <w:color w:val="000000"/>
          <w:lang w:val="fr"/>
        </w:rPr>
        <w:tab/>
        <w:t>La seule ouverture du paquet doit être un couvercle rabattable qui doit :</w:t>
      </w:r>
    </w:p>
    <w:p w14:paraId="2AB42839"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w:t>
      </w:r>
      <w:r w:rsidRPr="00825041">
        <w:rPr>
          <w:rFonts w:eastAsia="Times New Roman" w:cs="Times New Roman"/>
          <w:color w:val="000000"/>
          <w:lang w:val="fr"/>
        </w:rPr>
        <w:tab/>
        <w:t>(i)  être rattaché uniquement à l'arrière du paquet ; et</w:t>
      </w:r>
    </w:p>
    <w:p w14:paraId="5C77E906" w14:textId="49F24EDB"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xml:space="preserve">                             </w:t>
      </w:r>
      <w:r w:rsidRPr="00825041">
        <w:rPr>
          <w:rFonts w:eastAsia="Times New Roman" w:cs="Times New Roman"/>
          <w:color w:val="000000"/>
          <w:lang w:val="fr"/>
        </w:rPr>
        <w:tab/>
        <w:t>(ii) disposer d'un bord droit (ni le couvercle ni les bords du couvercle ne doivent être arrondis, biseautés, d'une autre forme ou embellis de quelque manière que ce soit).</w:t>
      </w:r>
    </w:p>
    <w:p w14:paraId="7F336E9B" w14:textId="77777777" w:rsidR="006F3982" w:rsidRPr="00825041" w:rsidRDefault="00C655FD"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xml:space="preserve">                     (c)  </w:t>
      </w:r>
      <w:r w:rsidRPr="00825041">
        <w:rPr>
          <w:rFonts w:eastAsia="Times New Roman" w:cs="Times New Roman"/>
          <w:color w:val="000000"/>
          <w:lang w:val="fr"/>
        </w:rPr>
        <w:tab/>
        <w:t>La languette intérieure d'un paquet de cigarettes (ni la languette ni les bords de la languette ne peuvent être biseautés ou d'une autre forme ou embellis de quelque manière que ce soit).</w:t>
      </w:r>
    </w:p>
    <w:p w14:paraId="732731EF" w14:textId="77777777" w:rsidR="00C655FD" w:rsidRPr="00825041" w:rsidRDefault="006F3982" w:rsidP="00FE6B67">
      <w:pPr>
        <w:spacing w:after="60" w:line="276" w:lineRule="auto"/>
        <w:ind w:left="1644" w:hanging="1644"/>
        <w:rPr>
          <w:rFonts w:eastAsia="Times New Roman" w:cs="Times New Roman"/>
          <w:b/>
          <w:bCs/>
          <w:color w:val="000000"/>
          <w:lang w:val="fr-FR"/>
        </w:rPr>
      </w:pPr>
      <w:r w:rsidRPr="00825041">
        <w:rPr>
          <w:rFonts w:eastAsia="Times New Roman" w:cs="Times New Roman"/>
          <w:color w:val="000000"/>
          <w:lang w:val="fr"/>
        </w:rPr>
        <w:t>                     (d) </w:t>
      </w:r>
      <w:r w:rsidRPr="00825041">
        <w:rPr>
          <w:rFonts w:eastAsia="Times New Roman" w:cs="Times New Roman"/>
          <w:color w:val="000000"/>
          <w:lang w:val="fr"/>
        </w:rPr>
        <w:tab/>
        <w:t>Si le paquet contient une doublure, la doublure du paquet doit être uniquement en papier d'aluminium doublé de papier au dos, ou en toute autre matière prescrite par la réglementation.</w:t>
      </w:r>
      <w:bookmarkStart w:id="7" w:name="_Toc457213572"/>
    </w:p>
    <w:p w14:paraId="41B380F4" w14:textId="77777777" w:rsidR="006F3982" w:rsidRPr="00825041" w:rsidRDefault="006F3982" w:rsidP="00FE6B67">
      <w:pPr>
        <w:keepNext/>
        <w:spacing w:after="60" w:line="276" w:lineRule="auto"/>
        <w:ind w:firstLine="720"/>
        <w:rPr>
          <w:rFonts w:eastAsia="Times New Roman" w:cs="Times New Roman"/>
          <w:b/>
          <w:bCs/>
          <w:color w:val="000000"/>
          <w:lang w:val="fr-FR"/>
        </w:rPr>
      </w:pPr>
      <w:r w:rsidRPr="00825041">
        <w:rPr>
          <w:rFonts w:eastAsia="Times New Roman" w:cs="Times New Roman"/>
          <w:b/>
          <w:bCs/>
          <w:color w:val="000000"/>
          <w:lang w:val="fr"/>
        </w:rPr>
        <w:t>Couleur et finition du paquet destiné à la vente au détail</w:t>
      </w:r>
      <w:bookmarkEnd w:id="7"/>
    </w:p>
    <w:p w14:paraId="1E66F678"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i/>
          <w:iCs/>
          <w:color w:val="000000"/>
          <w:lang w:val="fr"/>
        </w:rPr>
        <w:t xml:space="preserve">             </w:t>
      </w:r>
      <w:r w:rsidRPr="00825041">
        <w:rPr>
          <w:rFonts w:eastAsia="Times New Roman" w:cs="Times New Roman"/>
          <w:color w:val="000000"/>
          <w:lang w:val="fr"/>
        </w:rPr>
        <w:t>(1) Cette section relève des points suivants :</w:t>
      </w:r>
    </w:p>
    <w:p w14:paraId="6F0A2DA9"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 </w:t>
      </w:r>
      <w:r w:rsidRPr="00825041">
        <w:rPr>
          <w:rFonts w:eastAsia="Times New Roman" w:cs="Times New Roman"/>
          <w:color w:val="000000"/>
          <w:lang w:val="fr"/>
        </w:rPr>
        <w:tab/>
        <w:t>l'ensemble des surfaces externes et internes de l'emballage des produits du tabac destinés à la vente au détail (dans le sens des paragraphes (a) ou (b) de la définition sur les emballages de vente au détail) ; et</w:t>
      </w:r>
    </w:p>
    <w:p w14:paraId="7486A4F4"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(b)</w:t>
      </w:r>
      <w:r w:rsidRPr="00825041">
        <w:rPr>
          <w:rFonts w:eastAsia="Times New Roman" w:cs="Times New Roman"/>
          <w:color w:val="000000"/>
          <w:lang w:val="fr"/>
        </w:rPr>
        <w:tab/>
        <w:t>les deux côtés de toute doublure d'un paquet de cigarette.</w:t>
      </w:r>
    </w:p>
    <w:p w14:paraId="6C730885"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color w:val="000000"/>
          <w:lang w:val="fr"/>
        </w:rPr>
        <w:t>             (2) Les éléments mentionnés à la sous-section (1) :</w:t>
      </w:r>
    </w:p>
    <w:p w14:paraId="141AB51B"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w:t>
      </w:r>
      <w:r w:rsidRPr="00825041">
        <w:rPr>
          <w:rFonts w:eastAsia="Times New Roman" w:cs="Times New Roman"/>
          <w:color w:val="000000"/>
          <w:lang w:val="fr"/>
        </w:rPr>
        <w:tab/>
        <w:t xml:space="preserve"> doivent avoir un fini mat ; et</w:t>
      </w:r>
    </w:p>
    <w:p w14:paraId="5FA277BE"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xml:space="preserve">                     (b) </w:t>
      </w:r>
      <w:r w:rsidRPr="00825041">
        <w:rPr>
          <w:rFonts w:eastAsia="Times New Roman" w:cs="Times New Roman"/>
          <w:color w:val="000000"/>
          <w:lang w:val="fr"/>
        </w:rPr>
        <w:tab/>
        <w:t xml:space="preserve"> à l'exception de ce que prévoit la sous-section (3) :</w:t>
      </w:r>
    </w:p>
    <w:p w14:paraId="76D890EE"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xml:space="preserve">                              </w:t>
      </w:r>
      <w:r w:rsidRPr="00825041">
        <w:rPr>
          <w:rFonts w:eastAsia="Times New Roman" w:cs="Times New Roman"/>
          <w:color w:val="000000"/>
          <w:lang w:val="fr"/>
        </w:rPr>
        <w:tab/>
        <w:t>(i) si la réglementation en vigueur prescrit une couleur - ce doit être cette couleur ; et</w:t>
      </w:r>
    </w:p>
    <w:p w14:paraId="6D3D03A7"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xml:space="preserve">                             </w:t>
      </w:r>
      <w:r w:rsidRPr="00825041">
        <w:rPr>
          <w:rFonts w:eastAsia="Times New Roman" w:cs="Times New Roman"/>
          <w:color w:val="000000"/>
          <w:lang w:val="fr"/>
        </w:rPr>
        <w:tab/>
        <w:t>(ii) autrement, ce doit être marron foncé terne.</w:t>
      </w:r>
    </w:p>
    <w:p w14:paraId="58C20DFC" w14:textId="77777777" w:rsidR="006F3982" w:rsidRPr="00825041" w:rsidRDefault="006F3982" w:rsidP="00FE6B67">
      <w:pPr>
        <w:spacing w:after="60" w:line="276" w:lineRule="auto"/>
        <w:ind w:left="1134" w:hanging="1134"/>
        <w:rPr>
          <w:rFonts w:eastAsia="Times New Roman" w:cs="Times New Roman"/>
          <w:color w:val="000000"/>
          <w:lang w:val="fr-FR"/>
        </w:rPr>
      </w:pPr>
      <w:r w:rsidRPr="00825041">
        <w:rPr>
          <w:rFonts w:eastAsia="Times New Roman" w:cs="Times New Roman"/>
          <w:color w:val="000000"/>
          <w:lang w:val="fr"/>
        </w:rPr>
        <w:t>             (3) Les éléments suivants n'ont pas à être de la couleur mentionnée à la sous-section (2)(b) :</w:t>
      </w:r>
    </w:p>
    <w:p w14:paraId="279F612D"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(a)</w:t>
      </w:r>
      <w:r w:rsidRPr="00825041">
        <w:rPr>
          <w:rFonts w:eastAsia="Times New Roman" w:cs="Times New Roman"/>
          <w:color w:val="000000"/>
          <w:lang w:val="fr"/>
        </w:rPr>
        <w:tab/>
        <w:t>les mises en garde de santé ; et</w:t>
      </w:r>
    </w:p>
    <w:p w14:paraId="285FD304" w14:textId="77777777" w:rsidR="006F3982" w:rsidRPr="00825041" w:rsidRDefault="006F3982" w:rsidP="00FE6B67">
      <w:pPr>
        <w:spacing w:after="60" w:line="276" w:lineRule="auto"/>
        <w:ind w:left="1644" w:hanging="1644"/>
        <w:rPr>
          <w:rFonts w:eastAsia="Times New Roman" w:cs="Times New Roman"/>
          <w:color w:val="000000"/>
          <w:lang w:val="fr-FR"/>
        </w:rPr>
      </w:pPr>
      <w:r w:rsidRPr="00825041">
        <w:rPr>
          <w:rFonts w:eastAsia="Times New Roman" w:cs="Times New Roman"/>
          <w:color w:val="000000"/>
          <w:lang w:val="fr"/>
        </w:rPr>
        <w:t>                     (b)</w:t>
      </w:r>
      <w:r w:rsidRPr="00825041">
        <w:rPr>
          <w:rFonts w:eastAsia="Times New Roman" w:cs="Times New Roman"/>
          <w:color w:val="000000"/>
          <w:lang w:val="fr"/>
        </w:rPr>
        <w:tab/>
        <w:t xml:space="preserve"> le texte de :</w:t>
      </w:r>
    </w:p>
    <w:p w14:paraId="7F2F07DB" w14:textId="77777777" w:rsidR="006F3982" w:rsidRPr="00825041" w:rsidRDefault="006F3982" w:rsidP="00FE6B67">
      <w:pPr>
        <w:spacing w:after="60" w:line="276" w:lineRule="auto"/>
        <w:ind w:left="2098" w:hanging="2098"/>
        <w:rPr>
          <w:rFonts w:eastAsia="Times New Roman" w:cs="Times New Roman"/>
          <w:color w:val="000000"/>
          <w:lang w:val="fr-FR"/>
        </w:rPr>
      </w:pPr>
      <w:r w:rsidRPr="00825041">
        <w:rPr>
          <w:rFonts w:eastAsia="Times New Roman" w:cs="Times New Roman"/>
          <w:color w:val="000000"/>
          <w:lang w:val="fr"/>
        </w:rPr>
        <w:t>                             </w:t>
      </w:r>
      <w:r w:rsidRPr="00825041">
        <w:rPr>
          <w:rFonts w:eastAsia="Times New Roman" w:cs="Times New Roman"/>
          <w:color w:val="000000"/>
          <w:lang w:val="fr"/>
        </w:rPr>
        <w:tab/>
        <w:t>(i) la marque, nom de l'entreprise, ou variante du nom (si elle existe), des produits du tabac ; et</w:t>
      </w:r>
    </w:p>
    <w:p w14:paraId="4A4D60BB" w14:textId="77777777" w:rsidR="00C655FD" w:rsidRPr="00825041" w:rsidRDefault="006F3982" w:rsidP="00FE6B67">
      <w:pPr>
        <w:spacing w:after="60" w:line="276" w:lineRule="auto"/>
        <w:ind w:left="2098" w:hanging="2098"/>
        <w:rPr>
          <w:rFonts w:eastAsia="Times New Roman" w:cs="Times New Roman"/>
          <w:b/>
          <w:bCs/>
          <w:color w:val="000000"/>
          <w:lang w:val="fr-FR"/>
        </w:rPr>
      </w:pPr>
      <w:r w:rsidRPr="00825041">
        <w:rPr>
          <w:rFonts w:eastAsia="Times New Roman" w:cs="Times New Roman"/>
          <w:color w:val="000000"/>
          <w:lang w:val="fr"/>
        </w:rPr>
        <w:t xml:space="preserve">                             </w:t>
      </w:r>
      <w:r w:rsidRPr="00825041">
        <w:rPr>
          <w:rFonts w:eastAsia="Times New Roman" w:cs="Times New Roman"/>
          <w:color w:val="000000"/>
          <w:lang w:val="fr"/>
        </w:rPr>
        <w:tab/>
        <w:t>(ii) les exigences législatives pertinentes (autres que les mises en garde de santé).</w:t>
      </w:r>
      <w:bookmarkStart w:id="8" w:name="_Toc457213573"/>
    </w:p>
    <w:p w14:paraId="1584CFA9" w14:textId="77777777" w:rsidR="006F3982" w:rsidRPr="00825041" w:rsidRDefault="006F3982" w:rsidP="00FE6B67">
      <w:pPr>
        <w:keepNext/>
        <w:spacing w:after="60" w:line="276" w:lineRule="auto"/>
        <w:ind w:left="1134" w:hanging="504"/>
        <w:rPr>
          <w:rFonts w:eastAsia="Times New Roman" w:cs="Times New Roman"/>
          <w:b/>
          <w:bCs/>
          <w:color w:val="000000"/>
          <w:lang w:val="fr-FR"/>
        </w:rPr>
      </w:pPr>
      <w:r w:rsidRPr="00825041">
        <w:rPr>
          <w:rFonts w:eastAsia="Times New Roman" w:cs="Times New Roman"/>
          <w:b/>
          <w:bCs/>
          <w:color w:val="000000"/>
          <w:lang w:val="fr"/>
        </w:rPr>
        <w:t>Autres dispositions à prendre en compte pour les emballages neutres:</w:t>
      </w:r>
    </w:p>
    <w:p w14:paraId="231F4530" w14:textId="77777777" w:rsidR="006F3982" w:rsidRPr="00825041" w:rsidRDefault="006F3982" w:rsidP="00FE6B67">
      <w:pPr>
        <w:keepNext/>
        <w:numPr>
          <w:ilvl w:val="0"/>
          <w:numId w:val="12"/>
        </w:numPr>
        <w:spacing w:after="60" w:line="276" w:lineRule="auto"/>
        <w:rPr>
          <w:rFonts w:eastAsia="Times New Roman" w:cs="Times New Roman"/>
          <w:bCs/>
          <w:color w:val="000000"/>
          <w:lang w:val="fr-FR"/>
        </w:rPr>
      </w:pPr>
      <w:r w:rsidRPr="00825041">
        <w:rPr>
          <w:rFonts w:eastAsia="Times New Roman" w:cs="Times New Roman"/>
          <w:color w:val="000000"/>
          <w:lang w:val="fr"/>
        </w:rPr>
        <w:t>Interdire l'usage de marques de fabrique ou marques</w:t>
      </w:r>
      <w:bookmarkEnd w:id="8"/>
      <w:r w:rsidRPr="00825041">
        <w:rPr>
          <w:rFonts w:eastAsia="Times New Roman" w:cs="Times New Roman"/>
          <w:color w:val="000000"/>
          <w:lang w:val="fr"/>
        </w:rPr>
        <w:t xml:space="preserve"> de produits du tabac, telles que la marque déposée, nom de l'entreprise et variante de la marque, à moins d'être autorisé par la réglementation.</w:t>
      </w:r>
    </w:p>
    <w:p w14:paraId="01ADFE29" w14:textId="77777777" w:rsidR="006F3982" w:rsidRPr="00825041" w:rsidRDefault="006F3982" w:rsidP="00FE6B67">
      <w:pPr>
        <w:keepNext/>
        <w:numPr>
          <w:ilvl w:val="0"/>
          <w:numId w:val="12"/>
        </w:numPr>
        <w:spacing w:after="60" w:line="276" w:lineRule="auto"/>
        <w:rPr>
          <w:rFonts w:eastAsia="Times New Roman" w:cs="Times New Roman"/>
          <w:iCs/>
          <w:color w:val="000000"/>
          <w:lang w:val="fr-FR"/>
        </w:rPr>
      </w:pPr>
      <w:r w:rsidRPr="00825041">
        <w:rPr>
          <w:rFonts w:eastAsia="Times New Roman" w:cs="Times New Roman"/>
          <w:color w:val="000000"/>
          <w:lang w:val="fr"/>
        </w:rPr>
        <w:t>Les exigences relatives à la marque déposée, nom de l'entreprise et variante du nom sur les paquets destinés à la vente au détail.</w:t>
      </w:r>
    </w:p>
    <w:p w14:paraId="0AFC1575" w14:textId="77777777" w:rsidR="006F3982" w:rsidRPr="00825041" w:rsidRDefault="006F3982" w:rsidP="00FE6B67">
      <w:pPr>
        <w:keepNext/>
        <w:numPr>
          <w:ilvl w:val="0"/>
          <w:numId w:val="12"/>
        </w:numPr>
        <w:spacing w:after="60" w:line="276" w:lineRule="auto"/>
        <w:rPr>
          <w:rFonts w:eastAsia="Times New Roman" w:cs="Times New Roman"/>
          <w:bCs/>
          <w:color w:val="000000"/>
          <w:lang w:val="fr-FR"/>
        </w:rPr>
      </w:pPr>
      <w:bookmarkStart w:id="9" w:name="_Toc457213575"/>
      <w:r w:rsidRPr="00825041">
        <w:rPr>
          <w:rFonts w:eastAsia="Times New Roman" w:cs="Times New Roman"/>
          <w:color w:val="000000"/>
          <w:lang w:val="fr"/>
        </w:rPr>
        <w:t>Exigences pour les responsables des emballages</w:t>
      </w:r>
      <w:bookmarkEnd w:id="9"/>
      <w:r w:rsidRPr="00825041">
        <w:rPr>
          <w:rFonts w:eastAsia="Times New Roman" w:cs="Times New Roman"/>
          <w:color w:val="000000"/>
          <w:lang w:val="fr"/>
        </w:rPr>
        <w:t>.</w:t>
      </w:r>
    </w:p>
    <w:p w14:paraId="03CFE394" w14:textId="77777777" w:rsidR="006F3982" w:rsidRPr="00825041" w:rsidRDefault="006F3982" w:rsidP="00FE6B67">
      <w:pPr>
        <w:keepNext/>
        <w:numPr>
          <w:ilvl w:val="0"/>
          <w:numId w:val="12"/>
        </w:numPr>
        <w:spacing w:after="60" w:line="276" w:lineRule="auto"/>
        <w:rPr>
          <w:rFonts w:eastAsia="Times New Roman" w:cs="Times New Roman"/>
          <w:bCs/>
          <w:color w:val="000000"/>
          <w:lang w:val="fr-FR"/>
        </w:rPr>
      </w:pPr>
      <w:bookmarkStart w:id="10" w:name="_Toc457213576"/>
      <w:r w:rsidRPr="00825041">
        <w:rPr>
          <w:rFonts w:eastAsia="Times New Roman" w:cs="Times New Roman"/>
          <w:color w:val="000000"/>
          <w:lang w:val="fr"/>
        </w:rPr>
        <w:t>Les emballages de vente au détail ne doivent pas comporter d'insertions</w:t>
      </w:r>
      <w:bookmarkEnd w:id="10"/>
      <w:r w:rsidRPr="00825041">
        <w:rPr>
          <w:rFonts w:eastAsia="Times New Roman" w:cs="Times New Roman"/>
          <w:color w:val="000000"/>
          <w:lang w:val="fr"/>
        </w:rPr>
        <w:t xml:space="preserve"> à moins d'être autorisé par la réglementation.</w:t>
      </w:r>
    </w:p>
    <w:p w14:paraId="595A6678" w14:textId="77777777" w:rsidR="006F3982" w:rsidRPr="00825041" w:rsidRDefault="006F3982" w:rsidP="00FE6B67">
      <w:pPr>
        <w:keepNext/>
        <w:numPr>
          <w:ilvl w:val="0"/>
          <w:numId w:val="12"/>
        </w:numPr>
        <w:spacing w:after="60" w:line="276" w:lineRule="auto"/>
        <w:rPr>
          <w:rFonts w:eastAsia="Times New Roman" w:cs="Times New Roman"/>
          <w:bCs/>
          <w:color w:val="000000"/>
          <w:lang w:val="fr-FR"/>
        </w:rPr>
      </w:pPr>
      <w:bookmarkStart w:id="11" w:name="_Toc457213577"/>
      <w:r w:rsidRPr="00825041">
        <w:rPr>
          <w:rFonts w:eastAsia="Times New Roman" w:cs="Times New Roman"/>
          <w:color w:val="000000"/>
          <w:lang w:val="fr"/>
        </w:rPr>
        <w:t>Les emballages de vente au détail ne doivent pas faire de bruit ni dégager d'odeur</w:t>
      </w:r>
      <w:bookmarkEnd w:id="11"/>
      <w:r w:rsidRPr="00825041">
        <w:rPr>
          <w:rFonts w:eastAsia="Times New Roman" w:cs="Times New Roman"/>
          <w:color w:val="000000"/>
          <w:lang w:val="fr"/>
        </w:rPr>
        <w:t>.</w:t>
      </w:r>
    </w:p>
    <w:p w14:paraId="7C19DFA3" w14:textId="77777777" w:rsidR="006F3982" w:rsidRPr="00825041" w:rsidRDefault="006F3982" w:rsidP="00FE6B67">
      <w:pPr>
        <w:keepNext/>
        <w:numPr>
          <w:ilvl w:val="0"/>
          <w:numId w:val="12"/>
        </w:numPr>
        <w:spacing w:after="60" w:line="276" w:lineRule="auto"/>
        <w:rPr>
          <w:rFonts w:eastAsia="Times New Roman" w:cs="Times New Roman"/>
          <w:bCs/>
          <w:color w:val="000000"/>
          <w:lang w:val="fr-FR"/>
        </w:rPr>
      </w:pPr>
      <w:bookmarkStart w:id="12" w:name="_Toc457213578"/>
      <w:r w:rsidRPr="00825041">
        <w:rPr>
          <w:rFonts w:eastAsia="Times New Roman" w:cs="Times New Roman"/>
          <w:color w:val="000000"/>
          <w:lang w:val="fr"/>
        </w:rPr>
        <w:t>Les emballages de vente au détail ne doivent pas changer après la vente au détail</w:t>
      </w:r>
      <w:bookmarkEnd w:id="12"/>
      <w:r w:rsidRPr="00825041">
        <w:rPr>
          <w:rFonts w:eastAsia="Times New Roman" w:cs="Times New Roman"/>
          <w:color w:val="000000"/>
          <w:lang w:val="fr"/>
        </w:rPr>
        <w:t>.</w:t>
      </w:r>
    </w:p>
    <w:p w14:paraId="07A5658E" w14:textId="77777777" w:rsidR="006F3982" w:rsidRPr="00825041" w:rsidDel="0003292F" w:rsidRDefault="006F3982" w:rsidP="00FE6B67">
      <w:pPr>
        <w:keepNext/>
        <w:numPr>
          <w:ilvl w:val="0"/>
          <w:numId w:val="12"/>
        </w:numPr>
        <w:spacing w:after="60" w:line="276" w:lineRule="auto"/>
        <w:rPr>
          <w:rFonts w:eastAsia="Times New Roman" w:cs="Times New Roman"/>
          <w:bCs/>
          <w:color w:val="000000"/>
          <w:lang w:val="fr-FR"/>
        </w:rPr>
      </w:pPr>
      <w:r w:rsidRPr="00825041">
        <w:rPr>
          <w:rFonts w:eastAsia="Times New Roman" w:cs="Times New Roman"/>
          <w:color w:val="000000"/>
          <w:lang w:val="fr"/>
        </w:rPr>
        <w:t>Exigences pour l'apparence de la marque de fabrique ou la marque des produits du tabac, à moins d'être autorisé par la réglementation.</w:t>
      </w:r>
    </w:p>
    <w:p w14:paraId="6F35BD71" w14:textId="77777777" w:rsidR="006F3982" w:rsidRPr="00300E07" w:rsidRDefault="006F3982" w:rsidP="00300E07">
      <w:pPr>
        <w:keepNext/>
        <w:spacing w:after="60" w:line="276" w:lineRule="auto"/>
        <w:ind w:left="1080"/>
        <w:rPr>
          <w:rFonts w:eastAsiaTheme="minorHAnsi" w:cs="Times New Roman"/>
          <w:lang w:val="fr-FR"/>
        </w:rPr>
      </w:pPr>
    </w:p>
    <w:sectPr w:rsidR="006F3982" w:rsidRPr="00300E07" w:rsidSect="0056763A">
      <w:headerReference w:type="even" r:id="rId12"/>
      <w:headerReference w:type="default" r:id="rId13"/>
      <w:headerReference w:type="first" r:id="rId14"/>
      <w:footerReference w:type="first" r:id="rId15"/>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8B6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8B6798" w16cid:durableId="20B1E4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039C2" w14:textId="77777777" w:rsidR="004A56FB" w:rsidRDefault="004A56FB" w:rsidP="00DC6979">
      <w:pPr>
        <w:spacing w:after="0" w:line="240" w:lineRule="auto"/>
      </w:pPr>
      <w:r>
        <w:separator/>
      </w:r>
    </w:p>
  </w:endnote>
  <w:endnote w:type="continuationSeparator" w:id="0">
    <w:p w14:paraId="24FC2879" w14:textId="77777777" w:rsidR="004A56FB" w:rsidRDefault="004A56FB"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mbolMT">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2483B" w14:textId="77777777" w:rsidR="00163A00" w:rsidRDefault="00163A00" w:rsidP="00BD60F7">
    <w:pPr>
      <w:pStyle w:val="Footer"/>
      <w:pBdr>
        <w:top w:val="single" w:sz="4" w:space="1" w:color="D9D9D9" w:themeColor="background1" w:themeShade="D9"/>
      </w:pBdr>
      <w:rPr>
        <w:b/>
        <w:bCs/>
      </w:rPr>
    </w:pPr>
  </w:p>
  <w:p w14:paraId="35A9FB97" w14:textId="77777777" w:rsidR="00163A00" w:rsidRDefault="00163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AD0C6" w14:textId="77777777" w:rsidR="004A56FB" w:rsidRDefault="004A56FB" w:rsidP="00DC6979">
      <w:pPr>
        <w:spacing w:after="0" w:line="240" w:lineRule="auto"/>
      </w:pPr>
      <w:r>
        <w:separator/>
      </w:r>
    </w:p>
  </w:footnote>
  <w:footnote w:type="continuationSeparator" w:id="0">
    <w:p w14:paraId="6A491C81" w14:textId="77777777" w:rsidR="004A56FB" w:rsidRDefault="004A56FB" w:rsidP="00DC6979">
      <w:pPr>
        <w:spacing w:after="0" w:line="240" w:lineRule="auto"/>
      </w:pPr>
      <w:r>
        <w:continuationSeparator/>
      </w:r>
    </w:p>
  </w:footnote>
  <w:footnote w:id="1">
    <w:p w14:paraId="45BD10BA" w14:textId="77777777" w:rsidR="00163A00" w:rsidRPr="00300E07" w:rsidRDefault="00163A00" w:rsidP="00FE6B67">
      <w:pPr>
        <w:pStyle w:val="FootnoteText"/>
        <w:spacing w:before="0"/>
        <w:rPr>
          <w:rFonts w:asciiTheme="minorHAnsi" w:hAnsiTheme="minorHAnsi" w:cstheme="minorHAnsi"/>
          <w:sz w:val="18"/>
          <w:szCs w:val="18"/>
          <w:lang w:val="fr-FR"/>
        </w:rPr>
      </w:pPr>
      <w:r w:rsidRPr="009B6BA5">
        <w:rPr>
          <w:rStyle w:val="FootnoteReference"/>
          <w:rFonts w:asciiTheme="minorHAnsi" w:hAnsiTheme="minorHAnsi" w:cstheme="minorHAnsi"/>
          <w:sz w:val="18"/>
          <w:szCs w:val="18"/>
          <w:lang w:val="fr"/>
        </w:rPr>
        <w:footnoteRef/>
      </w:r>
      <w:r w:rsidRPr="009B6BA5">
        <w:rPr>
          <w:rFonts w:asciiTheme="minorHAnsi" w:hAnsiTheme="minorHAnsi" w:cstheme="minorHAnsi"/>
          <w:sz w:val="18"/>
          <w:szCs w:val="18"/>
          <w:lang w:val="fr"/>
        </w:rPr>
        <w:t xml:space="preserve">Par exemple, la Convention–cadre de l’OMS pour la lutte antitabac, </w:t>
      </w:r>
      <w:r w:rsidRPr="009B6BA5">
        <w:rPr>
          <w:rFonts w:asciiTheme="minorHAnsi" w:hAnsiTheme="minorHAnsi" w:cstheme="minorHAnsi"/>
          <w:i/>
          <w:iCs/>
          <w:sz w:val="18"/>
          <w:szCs w:val="18"/>
          <w:lang w:val="fr"/>
        </w:rPr>
        <w:t>le</w:t>
      </w:r>
      <w:r w:rsidRPr="009B6BA5">
        <w:rPr>
          <w:rFonts w:asciiTheme="minorHAnsi" w:hAnsiTheme="minorHAnsi" w:cstheme="minorHAnsi"/>
          <w:sz w:val="18"/>
          <w:szCs w:val="18"/>
          <w:lang w:val="fr"/>
        </w:rPr>
        <w:t xml:space="preserve"> </w:t>
      </w:r>
      <w:r w:rsidRPr="009B6BA5">
        <w:rPr>
          <w:rFonts w:asciiTheme="minorHAnsi" w:hAnsiTheme="minorHAnsi" w:cstheme="minorHAnsi"/>
          <w:i/>
          <w:iCs/>
          <w:sz w:val="18"/>
          <w:szCs w:val="18"/>
          <w:lang w:val="fr"/>
        </w:rPr>
        <w:t>Cadre pour la mise en oeuvre de l'ensemble des recommandations sur la commercialisation des aliments et boissons non alcoolisées destinés aux enfants,</w:t>
      </w:r>
      <w:r w:rsidRPr="009B6BA5">
        <w:rPr>
          <w:rFonts w:asciiTheme="minorHAnsi" w:hAnsiTheme="minorHAnsi" w:cstheme="minorHAnsi"/>
          <w:sz w:val="18"/>
          <w:szCs w:val="18"/>
          <w:lang w:val="fr"/>
        </w:rPr>
        <w:t xml:space="preserve"> </w:t>
      </w:r>
      <w:r w:rsidRPr="009B6BA5">
        <w:rPr>
          <w:rFonts w:asciiTheme="minorHAnsi" w:hAnsiTheme="minorHAnsi" w:cstheme="minorHAnsi"/>
          <w:i/>
          <w:iCs/>
          <w:sz w:val="18"/>
          <w:szCs w:val="18"/>
          <w:lang w:val="fr"/>
        </w:rPr>
        <w:t>le</w:t>
      </w:r>
      <w:r w:rsidRPr="009B6BA5">
        <w:rPr>
          <w:rFonts w:asciiTheme="minorHAnsi" w:hAnsiTheme="minorHAnsi" w:cstheme="minorHAnsi"/>
          <w:sz w:val="18"/>
          <w:szCs w:val="18"/>
          <w:lang w:val="fr"/>
        </w:rPr>
        <w:t xml:space="preserve"> </w:t>
      </w:r>
      <w:r w:rsidRPr="009B6BA5">
        <w:rPr>
          <w:rFonts w:asciiTheme="minorHAnsi" w:hAnsiTheme="minorHAnsi" w:cstheme="minorHAnsi"/>
          <w:i/>
          <w:iCs/>
          <w:sz w:val="18"/>
          <w:szCs w:val="18"/>
          <w:lang w:val="fr"/>
        </w:rPr>
        <w:t>Code international de commercialisation des substituts du lait maternel et</w:t>
      </w:r>
      <w:r w:rsidRPr="009B6BA5">
        <w:rPr>
          <w:rFonts w:asciiTheme="minorHAnsi" w:hAnsiTheme="minorHAnsi" w:cstheme="minorHAnsi"/>
          <w:sz w:val="18"/>
          <w:szCs w:val="18"/>
          <w:lang w:val="fr"/>
        </w:rPr>
        <w:t xml:space="preserve"> </w:t>
      </w:r>
      <w:r w:rsidRPr="009B6BA5">
        <w:rPr>
          <w:rFonts w:asciiTheme="minorHAnsi" w:hAnsiTheme="minorHAnsi" w:cstheme="minorHAnsi"/>
          <w:i/>
          <w:iCs/>
          <w:sz w:val="18"/>
          <w:szCs w:val="18"/>
          <w:lang w:val="fr"/>
        </w:rPr>
        <w:t>le Rapport mondial sur l'alcool et la santé et la Feuille de route relative aux MNT en Océanie</w:t>
      </w:r>
      <w:r w:rsidRPr="009B6BA5">
        <w:rPr>
          <w:rFonts w:asciiTheme="minorHAnsi" w:hAnsiTheme="minorHAnsi" w:cstheme="minorHAnsi"/>
          <w:sz w:val="18"/>
          <w:szCs w:val="18"/>
          <w:lang w:val="fr"/>
        </w:rPr>
        <w:t>.</w:t>
      </w:r>
    </w:p>
  </w:footnote>
  <w:footnote w:id="2">
    <w:p w14:paraId="01377A0E" w14:textId="12D77F16" w:rsidR="00163A00" w:rsidRPr="00FE6B67" w:rsidRDefault="00163A00" w:rsidP="00FE6B67">
      <w:pPr>
        <w:pStyle w:val="FootnoteText"/>
        <w:spacing w:before="0"/>
        <w:jc w:val="left"/>
        <w:rPr>
          <w:rFonts w:asciiTheme="minorHAnsi" w:hAnsiTheme="minorHAnsi" w:cstheme="minorHAnsi"/>
          <w:sz w:val="18"/>
          <w:szCs w:val="18"/>
        </w:rPr>
      </w:pPr>
      <w:r w:rsidRPr="002F2C0D">
        <w:rPr>
          <w:rStyle w:val="FootnoteReference"/>
          <w:rFonts w:asciiTheme="minorHAnsi" w:hAnsiTheme="minorHAnsi" w:cstheme="minorHAnsi"/>
          <w:sz w:val="18"/>
          <w:szCs w:val="18"/>
          <w:lang w:val="fr"/>
        </w:rPr>
        <w:footnoteRef/>
      </w:r>
      <w:r w:rsidRPr="002F2C0D">
        <w:rPr>
          <w:rFonts w:asciiTheme="minorHAnsi" w:hAnsiTheme="minorHAnsi" w:cstheme="minorHAnsi"/>
          <w:i/>
          <w:iCs/>
          <w:sz w:val="18"/>
          <w:szCs w:val="18"/>
          <w:lang w:val="fr"/>
        </w:rPr>
        <w:t xml:space="preserve"> </w:t>
      </w:r>
      <w:proofErr w:type="spellStart"/>
      <w:r w:rsidRPr="002F2C0D">
        <w:rPr>
          <w:rFonts w:asciiTheme="minorHAnsi" w:hAnsiTheme="minorHAnsi" w:cstheme="minorHAnsi"/>
          <w:i/>
          <w:iCs/>
          <w:sz w:val="18"/>
          <w:szCs w:val="18"/>
          <w:lang w:val="fr"/>
        </w:rPr>
        <w:t>Quit</w:t>
      </w:r>
      <w:proofErr w:type="spellEnd"/>
      <w:r w:rsidRPr="002F2C0D">
        <w:rPr>
          <w:rFonts w:asciiTheme="minorHAnsi" w:hAnsiTheme="minorHAnsi" w:cstheme="minorHAnsi"/>
          <w:i/>
          <w:iCs/>
          <w:sz w:val="18"/>
          <w:szCs w:val="18"/>
          <w:lang w:val="fr"/>
        </w:rPr>
        <w:t xml:space="preserve"> Victoria</w:t>
      </w:r>
      <w:r w:rsidRPr="002F2C0D">
        <w:rPr>
          <w:rFonts w:asciiTheme="minorHAnsi" w:hAnsiTheme="minorHAnsi" w:cstheme="minorHAnsi"/>
          <w:sz w:val="18"/>
          <w:szCs w:val="18"/>
          <w:lang w:val="fr"/>
        </w:rPr>
        <w:t xml:space="preserve"> et le </w:t>
      </w:r>
      <w:r w:rsidRPr="002F2C0D">
        <w:rPr>
          <w:rFonts w:asciiTheme="minorHAnsi" w:hAnsiTheme="minorHAnsi" w:cstheme="minorHAnsi"/>
          <w:i/>
          <w:iCs/>
          <w:sz w:val="18"/>
          <w:szCs w:val="18"/>
          <w:lang w:val="fr"/>
        </w:rPr>
        <w:t>Cancer Council of Victoria</w:t>
      </w:r>
      <w:r w:rsidRPr="002F2C0D">
        <w:rPr>
          <w:rFonts w:asciiTheme="minorHAnsi" w:hAnsiTheme="minorHAnsi" w:cstheme="minorHAnsi"/>
          <w:sz w:val="18"/>
          <w:szCs w:val="18"/>
          <w:lang w:val="fr"/>
        </w:rPr>
        <w:t xml:space="preserve">. Emballages neutres des produits du tabac : un examen des faits. </w:t>
      </w:r>
      <w:r w:rsidR="0054619B" w:rsidRPr="002F2C0D">
        <w:rPr>
          <w:rFonts w:asciiTheme="minorHAnsi" w:hAnsiTheme="minorHAnsi" w:cstheme="minorHAnsi"/>
          <w:sz w:val="18"/>
          <w:szCs w:val="18"/>
          <w:lang w:val="en-AU"/>
        </w:rPr>
        <w:t>Melbourne:</w:t>
      </w:r>
      <w:r w:rsidRPr="002F2C0D">
        <w:rPr>
          <w:rFonts w:asciiTheme="minorHAnsi" w:hAnsiTheme="minorHAnsi" w:cstheme="minorHAnsi"/>
          <w:sz w:val="18"/>
          <w:szCs w:val="18"/>
          <w:lang w:val="en-AU"/>
        </w:rPr>
        <w:t xml:space="preserve"> Cancer Council of </w:t>
      </w:r>
      <w:proofErr w:type="gramStart"/>
      <w:r w:rsidRPr="002F2C0D">
        <w:rPr>
          <w:rFonts w:asciiTheme="minorHAnsi" w:hAnsiTheme="minorHAnsi" w:cstheme="minorHAnsi"/>
          <w:sz w:val="18"/>
          <w:szCs w:val="18"/>
          <w:lang w:val="en-AU"/>
        </w:rPr>
        <w:t>Victoria ;</w:t>
      </w:r>
      <w:proofErr w:type="gramEnd"/>
      <w:r w:rsidRPr="002F2C0D">
        <w:rPr>
          <w:rFonts w:asciiTheme="minorHAnsi" w:hAnsiTheme="minorHAnsi" w:cstheme="minorHAnsi"/>
          <w:sz w:val="18"/>
          <w:szCs w:val="18"/>
          <w:lang w:val="en-AU"/>
        </w:rPr>
        <w:t xml:space="preserve"> 2011 (https://www.cancer.org.au/content/pdf/CancerControlPolicy/PositionStatements/</w:t>
      </w:r>
      <w:r w:rsidRPr="002F2C0D">
        <w:rPr>
          <w:rFonts w:asciiTheme="minorHAnsi" w:hAnsiTheme="minorHAnsi" w:cstheme="minorHAnsi"/>
          <w:sz w:val="18"/>
          <w:szCs w:val="18"/>
          <w:lang w:val="en-AU"/>
        </w:rPr>
        <w:br/>
        <w:t>TCUCCVBkgrndResrchPlainPak270511ReEnd_FINAL_May27.pdf).</w:t>
      </w:r>
      <w:r w:rsidRPr="00300E07">
        <w:rPr>
          <w:rFonts w:asciiTheme="minorHAnsi" w:hAnsiTheme="minorHAnsi" w:cstheme="minorHAnsi"/>
          <w:sz w:val="18"/>
          <w:szCs w:val="18"/>
          <w:lang w:val="en-AU"/>
        </w:rPr>
        <w:t xml:space="preserve"> </w:t>
      </w:r>
    </w:p>
  </w:footnote>
  <w:footnote w:id="3">
    <w:p w14:paraId="48520D54" w14:textId="5F64825A" w:rsidR="00163A00" w:rsidRPr="00300E07" w:rsidRDefault="00163A00" w:rsidP="006F3982">
      <w:pPr>
        <w:pStyle w:val="FootnoteText"/>
        <w:rPr>
          <w:sz w:val="16"/>
          <w:szCs w:val="16"/>
          <w:lang w:val="fr-FR"/>
        </w:rPr>
      </w:pPr>
      <w:r w:rsidRPr="002F2C0D">
        <w:rPr>
          <w:rStyle w:val="FootnoteReference"/>
          <w:sz w:val="16"/>
          <w:szCs w:val="16"/>
          <w:lang w:val="fr"/>
        </w:rPr>
        <w:footnoteRef/>
      </w:r>
      <w:r w:rsidRPr="002F2C0D">
        <w:rPr>
          <w:sz w:val="16"/>
          <w:szCs w:val="16"/>
          <w:lang w:val="fr"/>
        </w:rPr>
        <w:t>Les pays décideront de la pénalité en prenant en compte leurs systèmes d'infraction, formules, pratiques et styles.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F7626" w14:textId="3B2BFF67" w:rsidR="00163A00" w:rsidRPr="007608DB" w:rsidRDefault="00163A00" w:rsidP="00BD60F7">
    <w:pPr>
      <w:pStyle w:val="Header"/>
      <w:rPr>
        <w:rFonts w:asciiTheme="majorBidi" w:hAnsiTheme="majorBidi" w:cstheme="majorBidi"/>
        <w:b/>
        <w:bCs/>
      </w:rPr>
    </w:pPr>
    <w:r>
      <w:rPr>
        <w:rFonts w:asciiTheme="majorBidi" w:hAnsiTheme="majorBidi" w:cstheme="majorBidi"/>
        <w:b/>
        <w:bCs/>
        <w:lang w:val="fr"/>
      </w:rPr>
      <w:t>PIC13/</w:t>
    </w:r>
    <w:r w:rsidR="002E518F">
      <w:rPr>
        <w:rFonts w:asciiTheme="majorBidi" w:hAnsiTheme="majorBidi" w:cstheme="majorBidi"/>
        <w:b/>
        <w:bCs/>
        <w:lang w:val="fr"/>
      </w:rPr>
      <w:t>15</w:t>
    </w:r>
  </w:p>
  <w:p w14:paraId="01448393" w14:textId="77777777" w:rsidR="00163A00" w:rsidRDefault="00163A00"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56763A">
      <w:rPr>
        <w:rFonts w:asciiTheme="majorBidi" w:hAnsiTheme="majorBidi" w:cstheme="majorBidi"/>
        <w:b/>
        <w:bCs/>
        <w:noProof/>
        <w:lang w:val="fr"/>
      </w:rPr>
      <w:t>14</w:t>
    </w:r>
    <w:r>
      <w:rPr>
        <w:rFonts w:asciiTheme="majorBidi" w:hAnsiTheme="majorBidi" w:cstheme="majorBidi"/>
        <w:noProof/>
        <w:lang w:val="fr"/>
      </w:rPr>
      <w:fldChar w:fldCharType="end"/>
    </w:r>
  </w:p>
  <w:p w14:paraId="3C7843F1" w14:textId="77777777" w:rsidR="00163A00" w:rsidRDefault="00163A00" w:rsidP="00BD60F7">
    <w:pPr>
      <w:pStyle w:val="Header"/>
      <w:rPr>
        <w:rFonts w:asciiTheme="majorBidi" w:hAnsiTheme="majorBidi" w:cstheme="majorBidi"/>
        <w:b/>
        <w:bCs/>
        <w:noProof/>
      </w:rPr>
    </w:pPr>
  </w:p>
  <w:p w14:paraId="6CD34E77" w14:textId="77777777" w:rsidR="00163A00" w:rsidRPr="007608DB" w:rsidRDefault="00163A00"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52E22" w14:textId="2988368E" w:rsidR="00163A00" w:rsidRDefault="0056763A" w:rsidP="0056763A">
    <w:pPr>
      <w:pStyle w:val="Header"/>
      <w:jc w:val="right"/>
      <w:rPr>
        <w:rFonts w:asciiTheme="majorBidi" w:hAnsiTheme="majorBidi" w:cstheme="majorBidi"/>
        <w:noProof/>
        <w:lang w:val="fr"/>
      </w:rPr>
    </w:pPr>
    <w:r w:rsidRPr="0056763A">
      <w:rPr>
        <w:rFonts w:cs="Times New Roman"/>
        <w:b/>
        <w:bCs/>
        <w:lang w:val="fr"/>
      </w:rPr>
      <w:t>PIC13/S4/3</w:t>
    </w:r>
    <w:r>
      <w:rPr>
        <w:rFonts w:cs="Times New Roman"/>
        <w:b/>
        <w:bCs/>
        <w:lang w:val="fr"/>
      </w:rPr>
      <w:br/>
    </w:r>
    <w:r w:rsidR="00163A00">
      <w:rPr>
        <w:rFonts w:asciiTheme="majorBidi" w:hAnsiTheme="majorBidi" w:cstheme="majorBidi"/>
        <w:b/>
        <w:bCs/>
        <w:lang w:val="fr"/>
      </w:rPr>
      <w:t xml:space="preserve">page </w:t>
    </w:r>
    <w:r w:rsidR="00163A00">
      <w:rPr>
        <w:rFonts w:asciiTheme="majorBidi" w:hAnsiTheme="majorBidi" w:cstheme="majorBidi"/>
        <w:b/>
        <w:bCs/>
        <w:lang w:val="fr"/>
      </w:rPr>
      <w:fldChar w:fldCharType="begin"/>
    </w:r>
    <w:r w:rsidR="00163A00">
      <w:rPr>
        <w:rFonts w:asciiTheme="majorBidi" w:hAnsiTheme="majorBidi" w:cstheme="majorBidi"/>
        <w:b/>
        <w:bCs/>
        <w:lang w:val="fr"/>
      </w:rPr>
      <w:instrText xml:space="preserve"> PAGE   \* MERGEFORMAT </w:instrText>
    </w:r>
    <w:r w:rsidR="00163A00">
      <w:rPr>
        <w:rFonts w:asciiTheme="majorBidi" w:hAnsiTheme="majorBidi" w:cstheme="majorBidi"/>
        <w:b/>
        <w:bCs/>
        <w:lang w:val="fr"/>
      </w:rPr>
      <w:fldChar w:fldCharType="separate"/>
    </w:r>
    <w:r>
      <w:rPr>
        <w:rFonts w:asciiTheme="majorBidi" w:hAnsiTheme="majorBidi" w:cstheme="majorBidi"/>
        <w:b/>
        <w:bCs/>
        <w:noProof/>
        <w:lang w:val="fr"/>
      </w:rPr>
      <w:t>2</w:t>
    </w:r>
    <w:r w:rsidR="00163A00">
      <w:rPr>
        <w:rFonts w:asciiTheme="majorBidi" w:hAnsiTheme="majorBidi" w:cstheme="majorBidi"/>
        <w:noProof/>
        <w:lang w:val="fr"/>
      </w:rPr>
      <w:fldChar w:fldCharType="end"/>
    </w:r>
  </w:p>
  <w:p w14:paraId="649878DF" w14:textId="77777777" w:rsidR="0056763A" w:rsidRPr="0056763A" w:rsidRDefault="0056763A" w:rsidP="0056763A">
    <w:pPr>
      <w:pStyle w:val="Header"/>
      <w:jc w:val="right"/>
      <w:rPr>
        <w:rFonts w:cs="Times New Roman"/>
        <w:b/>
        <w:bCs/>
        <w:lang w:val="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33A0D" w14:textId="74EEBB0E" w:rsidR="0056763A" w:rsidRDefault="0056763A" w:rsidP="0056763A">
    <w:pPr>
      <w:pStyle w:val="Header"/>
      <w:jc w:val="center"/>
    </w:pPr>
    <w:r>
      <w:rPr>
        <w:noProof/>
        <w:lang w:val="en-US" w:eastAsia="en-US"/>
      </w:rPr>
      <w:drawing>
        <wp:inline distT="0" distB="0" distL="0" distR="0" wp14:anchorId="058B0BBD" wp14:editId="424E0AAE">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B1B"/>
    <w:multiLevelType w:val="hybridMultilevel"/>
    <w:tmpl w:val="AF5A85CE"/>
    <w:lvl w:ilvl="0" w:tplc="0C090005">
      <w:start w:val="1"/>
      <w:numFmt w:val="bullet"/>
      <w:lvlText w:val=""/>
      <w:lvlJc w:val="left"/>
      <w:pPr>
        <w:tabs>
          <w:tab w:val="num" w:pos="720"/>
        </w:tabs>
        <w:ind w:left="720" w:hanging="360"/>
      </w:pPr>
      <w:rPr>
        <w:rFonts w:ascii="Wingdings" w:hAnsi="Wingdings" w:hint="default"/>
      </w:rPr>
    </w:lvl>
    <w:lvl w:ilvl="1" w:tplc="424CDE7C">
      <w:start w:val="2578"/>
      <w:numFmt w:val="bullet"/>
      <w:lvlText w:val="–"/>
      <w:lvlJc w:val="left"/>
      <w:pPr>
        <w:tabs>
          <w:tab w:val="num" w:pos="1440"/>
        </w:tabs>
        <w:ind w:left="1440" w:hanging="360"/>
      </w:pPr>
      <w:rPr>
        <w:rFonts w:ascii="Arial" w:hAnsi="Arial" w:hint="default"/>
      </w:rPr>
    </w:lvl>
    <w:lvl w:ilvl="2" w:tplc="BC408674" w:tentative="1">
      <w:start w:val="1"/>
      <w:numFmt w:val="bullet"/>
      <w:lvlText w:val="•"/>
      <w:lvlJc w:val="left"/>
      <w:pPr>
        <w:tabs>
          <w:tab w:val="num" w:pos="2160"/>
        </w:tabs>
        <w:ind w:left="2160" w:hanging="360"/>
      </w:pPr>
      <w:rPr>
        <w:rFonts w:ascii="Arial" w:hAnsi="Arial" w:hint="default"/>
      </w:rPr>
    </w:lvl>
    <w:lvl w:ilvl="3" w:tplc="82E2BF48" w:tentative="1">
      <w:start w:val="1"/>
      <w:numFmt w:val="bullet"/>
      <w:lvlText w:val="•"/>
      <w:lvlJc w:val="left"/>
      <w:pPr>
        <w:tabs>
          <w:tab w:val="num" w:pos="2880"/>
        </w:tabs>
        <w:ind w:left="2880" w:hanging="360"/>
      </w:pPr>
      <w:rPr>
        <w:rFonts w:ascii="Arial" w:hAnsi="Arial" w:hint="default"/>
      </w:rPr>
    </w:lvl>
    <w:lvl w:ilvl="4" w:tplc="C49040FA" w:tentative="1">
      <w:start w:val="1"/>
      <w:numFmt w:val="bullet"/>
      <w:lvlText w:val="•"/>
      <w:lvlJc w:val="left"/>
      <w:pPr>
        <w:tabs>
          <w:tab w:val="num" w:pos="3600"/>
        </w:tabs>
        <w:ind w:left="3600" w:hanging="360"/>
      </w:pPr>
      <w:rPr>
        <w:rFonts w:ascii="Arial" w:hAnsi="Arial" w:hint="default"/>
      </w:rPr>
    </w:lvl>
    <w:lvl w:ilvl="5" w:tplc="373EB228" w:tentative="1">
      <w:start w:val="1"/>
      <w:numFmt w:val="bullet"/>
      <w:lvlText w:val="•"/>
      <w:lvlJc w:val="left"/>
      <w:pPr>
        <w:tabs>
          <w:tab w:val="num" w:pos="4320"/>
        </w:tabs>
        <w:ind w:left="4320" w:hanging="360"/>
      </w:pPr>
      <w:rPr>
        <w:rFonts w:ascii="Arial" w:hAnsi="Arial" w:hint="default"/>
      </w:rPr>
    </w:lvl>
    <w:lvl w:ilvl="6" w:tplc="2132E484" w:tentative="1">
      <w:start w:val="1"/>
      <w:numFmt w:val="bullet"/>
      <w:lvlText w:val="•"/>
      <w:lvlJc w:val="left"/>
      <w:pPr>
        <w:tabs>
          <w:tab w:val="num" w:pos="5040"/>
        </w:tabs>
        <w:ind w:left="5040" w:hanging="360"/>
      </w:pPr>
      <w:rPr>
        <w:rFonts w:ascii="Arial" w:hAnsi="Arial" w:hint="default"/>
      </w:rPr>
    </w:lvl>
    <w:lvl w:ilvl="7" w:tplc="4D2ACBFE" w:tentative="1">
      <w:start w:val="1"/>
      <w:numFmt w:val="bullet"/>
      <w:lvlText w:val="•"/>
      <w:lvlJc w:val="left"/>
      <w:pPr>
        <w:tabs>
          <w:tab w:val="num" w:pos="5760"/>
        </w:tabs>
        <w:ind w:left="5760" w:hanging="360"/>
      </w:pPr>
      <w:rPr>
        <w:rFonts w:ascii="Arial" w:hAnsi="Arial" w:hint="default"/>
      </w:rPr>
    </w:lvl>
    <w:lvl w:ilvl="8" w:tplc="4BBE1C86" w:tentative="1">
      <w:start w:val="1"/>
      <w:numFmt w:val="bullet"/>
      <w:lvlText w:val="•"/>
      <w:lvlJc w:val="left"/>
      <w:pPr>
        <w:tabs>
          <w:tab w:val="num" w:pos="6480"/>
        </w:tabs>
        <w:ind w:left="6480" w:hanging="360"/>
      </w:pPr>
      <w:rPr>
        <w:rFonts w:ascii="Arial" w:hAnsi="Arial" w:hint="default"/>
      </w:rPr>
    </w:lvl>
  </w:abstractNum>
  <w:abstractNum w:abstractNumId="1">
    <w:nsid w:val="05EC6A09"/>
    <w:multiLevelType w:val="hybridMultilevel"/>
    <w:tmpl w:val="684A3C6A"/>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2D2389"/>
    <w:multiLevelType w:val="hybridMultilevel"/>
    <w:tmpl w:val="E75AFB9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3EE341E"/>
    <w:multiLevelType w:val="hybridMultilevel"/>
    <w:tmpl w:val="40C4F5F6"/>
    <w:lvl w:ilvl="0" w:tplc="08090005">
      <w:start w:val="1"/>
      <w:numFmt w:val="bullet"/>
      <w:lvlText w:val=""/>
      <w:lvlJc w:val="left"/>
      <w:pPr>
        <w:ind w:left="3510" w:hanging="360"/>
      </w:pPr>
      <w:rPr>
        <w:rFonts w:ascii="Wingdings" w:hAnsi="Wingdings" w:hint="default"/>
      </w:rPr>
    </w:lvl>
    <w:lvl w:ilvl="1" w:tplc="08090003" w:tentative="1">
      <w:start w:val="1"/>
      <w:numFmt w:val="bullet"/>
      <w:lvlText w:val="o"/>
      <w:lvlJc w:val="left"/>
      <w:pPr>
        <w:ind w:left="4230" w:hanging="360"/>
      </w:pPr>
      <w:rPr>
        <w:rFonts w:ascii="Courier New" w:hAnsi="Courier New" w:cs="Courier New" w:hint="default"/>
      </w:rPr>
    </w:lvl>
    <w:lvl w:ilvl="2" w:tplc="08090005" w:tentative="1">
      <w:start w:val="1"/>
      <w:numFmt w:val="bullet"/>
      <w:lvlText w:val=""/>
      <w:lvlJc w:val="left"/>
      <w:pPr>
        <w:ind w:left="4950" w:hanging="360"/>
      </w:pPr>
      <w:rPr>
        <w:rFonts w:ascii="Wingdings" w:hAnsi="Wingdings" w:hint="default"/>
      </w:rPr>
    </w:lvl>
    <w:lvl w:ilvl="3" w:tplc="08090001" w:tentative="1">
      <w:start w:val="1"/>
      <w:numFmt w:val="bullet"/>
      <w:lvlText w:val=""/>
      <w:lvlJc w:val="left"/>
      <w:pPr>
        <w:ind w:left="5670" w:hanging="360"/>
      </w:pPr>
      <w:rPr>
        <w:rFonts w:ascii="Symbol" w:hAnsi="Symbol" w:hint="default"/>
      </w:rPr>
    </w:lvl>
    <w:lvl w:ilvl="4" w:tplc="08090003" w:tentative="1">
      <w:start w:val="1"/>
      <w:numFmt w:val="bullet"/>
      <w:lvlText w:val="o"/>
      <w:lvlJc w:val="left"/>
      <w:pPr>
        <w:ind w:left="6390" w:hanging="360"/>
      </w:pPr>
      <w:rPr>
        <w:rFonts w:ascii="Courier New" w:hAnsi="Courier New" w:cs="Courier New" w:hint="default"/>
      </w:rPr>
    </w:lvl>
    <w:lvl w:ilvl="5" w:tplc="08090005" w:tentative="1">
      <w:start w:val="1"/>
      <w:numFmt w:val="bullet"/>
      <w:lvlText w:val=""/>
      <w:lvlJc w:val="left"/>
      <w:pPr>
        <w:ind w:left="7110" w:hanging="360"/>
      </w:pPr>
      <w:rPr>
        <w:rFonts w:ascii="Wingdings" w:hAnsi="Wingdings" w:hint="default"/>
      </w:rPr>
    </w:lvl>
    <w:lvl w:ilvl="6" w:tplc="08090001" w:tentative="1">
      <w:start w:val="1"/>
      <w:numFmt w:val="bullet"/>
      <w:lvlText w:val=""/>
      <w:lvlJc w:val="left"/>
      <w:pPr>
        <w:ind w:left="7830" w:hanging="360"/>
      </w:pPr>
      <w:rPr>
        <w:rFonts w:ascii="Symbol" w:hAnsi="Symbol" w:hint="default"/>
      </w:rPr>
    </w:lvl>
    <w:lvl w:ilvl="7" w:tplc="08090003" w:tentative="1">
      <w:start w:val="1"/>
      <w:numFmt w:val="bullet"/>
      <w:lvlText w:val="o"/>
      <w:lvlJc w:val="left"/>
      <w:pPr>
        <w:ind w:left="8550" w:hanging="360"/>
      </w:pPr>
      <w:rPr>
        <w:rFonts w:ascii="Courier New" w:hAnsi="Courier New" w:cs="Courier New" w:hint="default"/>
      </w:rPr>
    </w:lvl>
    <w:lvl w:ilvl="8" w:tplc="08090005" w:tentative="1">
      <w:start w:val="1"/>
      <w:numFmt w:val="bullet"/>
      <w:lvlText w:val=""/>
      <w:lvlJc w:val="left"/>
      <w:pPr>
        <w:ind w:left="9270" w:hanging="360"/>
      </w:pPr>
      <w:rPr>
        <w:rFonts w:ascii="Wingdings" w:hAnsi="Wingdings" w:hint="default"/>
      </w:rPr>
    </w:lvl>
  </w:abstractNum>
  <w:abstractNum w:abstractNumId="4">
    <w:nsid w:val="16F61CA3"/>
    <w:multiLevelType w:val="multilevel"/>
    <w:tmpl w:val="2368AC72"/>
    <w:lvl w:ilvl="0">
      <w:start w:val="1"/>
      <w:numFmt w:val="decimal"/>
      <w:lvlText w:val="%1."/>
      <w:lvlJc w:val="left"/>
      <w:pPr>
        <w:ind w:left="360" w:hanging="360"/>
      </w:pPr>
      <w:rPr>
        <w:rFonts w:hint="default"/>
      </w:rPr>
    </w:lvl>
    <w:lvl w:ilvl="1">
      <w:start w:val="1"/>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014DE7"/>
    <w:multiLevelType w:val="hybridMultilevel"/>
    <w:tmpl w:val="D9C6292A"/>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0A7473"/>
    <w:multiLevelType w:val="hybridMultilevel"/>
    <w:tmpl w:val="6CD836A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1903958"/>
    <w:multiLevelType w:val="hybridMultilevel"/>
    <w:tmpl w:val="575CEA6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1AB51A5"/>
    <w:multiLevelType w:val="hybridMultilevel"/>
    <w:tmpl w:val="C0F6488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192A32"/>
    <w:multiLevelType w:val="hybridMultilevel"/>
    <w:tmpl w:val="FA30BE1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BB78D3"/>
    <w:multiLevelType w:val="hybridMultilevel"/>
    <w:tmpl w:val="1070F2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B7A66"/>
    <w:multiLevelType w:val="hybridMultilevel"/>
    <w:tmpl w:val="D5E6841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DCC2B7C"/>
    <w:multiLevelType w:val="multilevel"/>
    <w:tmpl w:val="0820FE30"/>
    <w:styleLink w:val="OPCNumbering"/>
    <w:lvl w:ilvl="0">
      <w:start w:val="1"/>
      <w:numFmt w:val="decimal"/>
      <w:pStyle w:val="SectionHeading"/>
      <w:lvlText w:val="%1"/>
      <w:lvlJc w:val="left"/>
      <w:pPr>
        <w:tabs>
          <w:tab w:val="num" w:pos="0"/>
        </w:tabs>
        <w:ind w:left="720" w:hanging="720"/>
      </w:pPr>
      <w:rPr>
        <w:rFonts w:hint="default"/>
      </w:rPr>
    </w:lvl>
    <w:lvl w:ilvl="1">
      <w:start w:val="1"/>
      <w:numFmt w:val="none"/>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nsid w:val="356052B5"/>
    <w:multiLevelType w:val="hybridMultilevel"/>
    <w:tmpl w:val="DD5CAC10"/>
    <w:lvl w:ilvl="0" w:tplc="F6E8A85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85D08CD"/>
    <w:multiLevelType w:val="hybridMultilevel"/>
    <w:tmpl w:val="B96ACDD2"/>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E922CB8"/>
    <w:multiLevelType w:val="hybridMultilevel"/>
    <w:tmpl w:val="A622E72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AEF6B6C"/>
    <w:multiLevelType w:val="hybridMultilevel"/>
    <w:tmpl w:val="B0842D08"/>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4D02135F"/>
    <w:multiLevelType w:val="hybridMultilevel"/>
    <w:tmpl w:val="96B2A95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DC13D40"/>
    <w:multiLevelType w:val="multilevel"/>
    <w:tmpl w:val="278A624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DD51740"/>
    <w:multiLevelType w:val="hybridMultilevel"/>
    <w:tmpl w:val="2FC4ECC0"/>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4EB66B1F"/>
    <w:multiLevelType w:val="hybridMultilevel"/>
    <w:tmpl w:val="AC68BD4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29324D9"/>
    <w:multiLevelType w:val="hybridMultilevel"/>
    <w:tmpl w:val="A2D4325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B0B7A79"/>
    <w:multiLevelType w:val="hybridMultilevel"/>
    <w:tmpl w:val="9A1CBCF0"/>
    <w:lvl w:ilvl="0" w:tplc="04090011">
      <w:start w:val="1"/>
      <w:numFmt w:val="decimal"/>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5E1F271F"/>
    <w:multiLevelType w:val="hybridMultilevel"/>
    <w:tmpl w:val="3418DADA"/>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63377420"/>
    <w:multiLevelType w:val="hybridMultilevel"/>
    <w:tmpl w:val="61B6E53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4E3BD4"/>
    <w:multiLevelType w:val="hybridMultilevel"/>
    <w:tmpl w:val="DA904E66"/>
    <w:lvl w:ilvl="0" w:tplc="0C090005">
      <w:start w:val="1"/>
      <w:numFmt w:val="bullet"/>
      <w:lvlText w:val=""/>
      <w:lvlJc w:val="left"/>
      <w:pPr>
        <w:tabs>
          <w:tab w:val="num" w:pos="720"/>
        </w:tabs>
        <w:ind w:left="720" w:hanging="360"/>
      </w:pPr>
      <w:rPr>
        <w:rFonts w:ascii="Wingdings" w:hAnsi="Wingdings" w:hint="default"/>
      </w:rPr>
    </w:lvl>
    <w:lvl w:ilvl="1" w:tplc="44921228">
      <w:start w:val="2578"/>
      <w:numFmt w:val="bullet"/>
      <w:lvlText w:val="–"/>
      <w:lvlJc w:val="left"/>
      <w:pPr>
        <w:tabs>
          <w:tab w:val="num" w:pos="1440"/>
        </w:tabs>
        <w:ind w:left="1440" w:hanging="360"/>
      </w:pPr>
      <w:rPr>
        <w:rFonts w:ascii="Arial" w:hAnsi="Arial" w:hint="default"/>
      </w:rPr>
    </w:lvl>
    <w:lvl w:ilvl="2" w:tplc="D1BE1998" w:tentative="1">
      <w:start w:val="1"/>
      <w:numFmt w:val="bullet"/>
      <w:lvlText w:val="•"/>
      <w:lvlJc w:val="left"/>
      <w:pPr>
        <w:tabs>
          <w:tab w:val="num" w:pos="2160"/>
        </w:tabs>
        <w:ind w:left="2160" w:hanging="360"/>
      </w:pPr>
      <w:rPr>
        <w:rFonts w:ascii="Arial" w:hAnsi="Arial" w:hint="default"/>
      </w:rPr>
    </w:lvl>
    <w:lvl w:ilvl="3" w:tplc="2F88F4FC" w:tentative="1">
      <w:start w:val="1"/>
      <w:numFmt w:val="bullet"/>
      <w:lvlText w:val="•"/>
      <w:lvlJc w:val="left"/>
      <w:pPr>
        <w:tabs>
          <w:tab w:val="num" w:pos="2880"/>
        </w:tabs>
        <w:ind w:left="2880" w:hanging="360"/>
      </w:pPr>
      <w:rPr>
        <w:rFonts w:ascii="Arial" w:hAnsi="Arial" w:hint="default"/>
      </w:rPr>
    </w:lvl>
    <w:lvl w:ilvl="4" w:tplc="15C8E2B4" w:tentative="1">
      <w:start w:val="1"/>
      <w:numFmt w:val="bullet"/>
      <w:lvlText w:val="•"/>
      <w:lvlJc w:val="left"/>
      <w:pPr>
        <w:tabs>
          <w:tab w:val="num" w:pos="3600"/>
        </w:tabs>
        <w:ind w:left="3600" w:hanging="360"/>
      </w:pPr>
      <w:rPr>
        <w:rFonts w:ascii="Arial" w:hAnsi="Arial" w:hint="default"/>
      </w:rPr>
    </w:lvl>
    <w:lvl w:ilvl="5" w:tplc="B7502930" w:tentative="1">
      <w:start w:val="1"/>
      <w:numFmt w:val="bullet"/>
      <w:lvlText w:val="•"/>
      <w:lvlJc w:val="left"/>
      <w:pPr>
        <w:tabs>
          <w:tab w:val="num" w:pos="4320"/>
        </w:tabs>
        <w:ind w:left="4320" w:hanging="360"/>
      </w:pPr>
      <w:rPr>
        <w:rFonts w:ascii="Arial" w:hAnsi="Arial" w:hint="default"/>
      </w:rPr>
    </w:lvl>
    <w:lvl w:ilvl="6" w:tplc="A5147C80" w:tentative="1">
      <w:start w:val="1"/>
      <w:numFmt w:val="bullet"/>
      <w:lvlText w:val="•"/>
      <w:lvlJc w:val="left"/>
      <w:pPr>
        <w:tabs>
          <w:tab w:val="num" w:pos="5040"/>
        </w:tabs>
        <w:ind w:left="5040" w:hanging="360"/>
      </w:pPr>
      <w:rPr>
        <w:rFonts w:ascii="Arial" w:hAnsi="Arial" w:hint="default"/>
      </w:rPr>
    </w:lvl>
    <w:lvl w:ilvl="7" w:tplc="D7CC6516" w:tentative="1">
      <w:start w:val="1"/>
      <w:numFmt w:val="bullet"/>
      <w:lvlText w:val="•"/>
      <w:lvlJc w:val="left"/>
      <w:pPr>
        <w:tabs>
          <w:tab w:val="num" w:pos="5760"/>
        </w:tabs>
        <w:ind w:left="5760" w:hanging="360"/>
      </w:pPr>
      <w:rPr>
        <w:rFonts w:ascii="Arial" w:hAnsi="Arial" w:hint="default"/>
      </w:rPr>
    </w:lvl>
    <w:lvl w:ilvl="8" w:tplc="8ADC9856" w:tentative="1">
      <w:start w:val="1"/>
      <w:numFmt w:val="bullet"/>
      <w:lvlText w:val="•"/>
      <w:lvlJc w:val="left"/>
      <w:pPr>
        <w:tabs>
          <w:tab w:val="num" w:pos="6480"/>
        </w:tabs>
        <w:ind w:left="6480" w:hanging="360"/>
      </w:pPr>
      <w:rPr>
        <w:rFonts w:ascii="Arial" w:hAnsi="Arial" w:hint="default"/>
      </w:rPr>
    </w:lvl>
  </w:abstractNum>
  <w:abstractNum w:abstractNumId="26">
    <w:nsid w:val="6A0D4699"/>
    <w:multiLevelType w:val="hybridMultilevel"/>
    <w:tmpl w:val="9C56F4E2"/>
    <w:lvl w:ilvl="0" w:tplc="BE068E1E">
      <w:start w:val="1"/>
      <w:numFmt w:val="lowerLetter"/>
      <w:lvlText w:val="(%1)"/>
      <w:lvlJc w:val="left"/>
      <w:pPr>
        <w:ind w:left="1460" w:hanging="360"/>
      </w:pPr>
      <w:rPr>
        <w:rFonts w:hint="default"/>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7">
    <w:nsid w:val="6E0D2B9A"/>
    <w:multiLevelType w:val="hybridMultilevel"/>
    <w:tmpl w:val="E37E1F3A"/>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5D35D1"/>
    <w:multiLevelType w:val="hybridMultilevel"/>
    <w:tmpl w:val="7FAC6C8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AEA2957"/>
    <w:multiLevelType w:val="hybridMultilevel"/>
    <w:tmpl w:val="3CC82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ED1248"/>
    <w:multiLevelType w:val="hybridMultilevel"/>
    <w:tmpl w:val="1A1C072C"/>
    <w:lvl w:ilvl="0" w:tplc="0C090005">
      <w:start w:val="1"/>
      <w:numFmt w:val="bullet"/>
      <w:lvlText w:val=""/>
      <w:lvlJc w:val="left"/>
      <w:pPr>
        <w:tabs>
          <w:tab w:val="num" w:pos="720"/>
        </w:tabs>
        <w:ind w:left="720" w:hanging="360"/>
      </w:pPr>
      <w:rPr>
        <w:rFonts w:ascii="Wingdings" w:hAnsi="Wingdings" w:hint="default"/>
      </w:rPr>
    </w:lvl>
    <w:lvl w:ilvl="1" w:tplc="424CDE7C">
      <w:start w:val="2578"/>
      <w:numFmt w:val="bullet"/>
      <w:lvlText w:val="–"/>
      <w:lvlJc w:val="left"/>
      <w:pPr>
        <w:tabs>
          <w:tab w:val="num" w:pos="1440"/>
        </w:tabs>
        <w:ind w:left="1440" w:hanging="360"/>
      </w:pPr>
      <w:rPr>
        <w:rFonts w:ascii="Arial" w:hAnsi="Arial" w:hint="default"/>
      </w:rPr>
    </w:lvl>
    <w:lvl w:ilvl="2" w:tplc="BC408674" w:tentative="1">
      <w:start w:val="1"/>
      <w:numFmt w:val="bullet"/>
      <w:lvlText w:val="•"/>
      <w:lvlJc w:val="left"/>
      <w:pPr>
        <w:tabs>
          <w:tab w:val="num" w:pos="2160"/>
        </w:tabs>
        <w:ind w:left="2160" w:hanging="360"/>
      </w:pPr>
      <w:rPr>
        <w:rFonts w:ascii="Arial" w:hAnsi="Arial" w:hint="default"/>
      </w:rPr>
    </w:lvl>
    <w:lvl w:ilvl="3" w:tplc="82E2BF48" w:tentative="1">
      <w:start w:val="1"/>
      <w:numFmt w:val="bullet"/>
      <w:lvlText w:val="•"/>
      <w:lvlJc w:val="left"/>
      <w:pPr>
        <w:tabs>
          <w:tab w:val="num" w:pos="2880"/>
        </w:tabs>
        <w:ind w:left="2880" w:hanging="360"/>
      </w:pPr>
      <w:rPr>
        <w:rFonts w:ascii="Arial" w:hAnsi="Arial" w:hint="default"/>
      </w:rPr>
    </w:lvl>
    <w:lvl w:ilvl="4" w:tplc="C49040FA" w:tentative="1">
      <w:start w:val="1"/>
      <w:numFmt w:val="bullet"/>
      <w:lvlText w:val="•"/>
      <w:lvlJc w:val="left"/>
      <w:pPr>
        <w:tabs>
          <w:tab w:val="num" w:pos="3600"/>
        </w:tabs>
        <w:ind w:left="3600" w:hanging="360"/>
      </w:pPr>
      <w:rPr>
        <w:rFonts w:ascii="Arial" w:hAnsi="Arial" w:hint="default"/>
      </w:rPr>
    </w:lvl>
    <w:lvl w:ilvl="5" w:tplc="373EB228" w:tentative="1">
      <w:start w:val="1"/>
      <w:numFmt w:val="bullet"/>
      <w:lvlText w:val="•"/>
      <w:lvlJc w:val="left"/>
      <w:pPr>
        <w:tabs>
          <w:tab w:val="num" w:pos="4320"/>
        </w:tabs>
        <w:ind w:left="4320" w:hanging="360"/>
      </w:pPr>
      <w:rPr>
        <w:rFonts w:ascii="Arial" w:hAnsi="Arial" w:hint="default"/>
      </w:rPr>
    </w:lvl>
    <w:lvl w:ilvl="6" w:tplc="2132E484" w:tentative="1">
      <w:start w:val="1"/>
      <w:numFmt w:val="bullet"/>
      <w:lvlText w:val="•"/>
      <w:lvlJc w:val="left"/>
      <w:pPr>
        <w:tabs>
          <w:tab w:val="num" w:pos="5040"/>
        </w:tabs>
        <w:ind w:left="5040" w:hanging="360"/>
      </w:pPr>
      <w:rPr>
        <w:rFonts w:ascii="Arial" w:hAnsi="Arial" w:hint="default"/>
      </w:rPr>
    </w:lvl>
    <w:lvl w:ilvl="7" w:tplc="4D2ACBFE" w:tentative="1">
      <w:start w:val="1"/>
      <w:numFmt w:val="bullet"/>
      <w:lvlText w:val="•"/>
      <w:lvlJc w:val="left"/>
      <w:pPr>
        <w:tabs>
          <w:tab w:val="num" w:pos="5760"/>
        </w:tabs>
        <w:ind w:left="5760" w:hanging="360"/>
      </w:pPr>
      <w:rPr>
        <w:rFonts w:ascii="Arial" w:hAnsi="Arial" w:hint="default"/>
      </w:rPr>
    </w:lvl>
    <w:lvl w:ilvl="8" w:tplc="4BBE1C86" w:tentative="1">
      <w:start w:val="1"/>
      <w:numFmt w:val="bullet"/>
      <w:lvlText w:val="•"/>
      <w:lvlJc w:val="left"/>
      <w:pPr>
        <w:tabs>
          <w:tab w:val="num" w:pos="6480"/>
        </w:tabs>
        <w:ind w:left="6480" w:hanging="360"/>
      </w:pPr>
      <w:rPr>
        <w:rFonts w:ascii="Arial" w:hAnsi="Arial" w:hint="default"/>
      </w:rPr>
    </w:lvl>
  </w:abstractNum>
  <w:abstractNum w:abstractNumId="31">
    <w:nsid w:val="7BFA7603"/>
    <w:multiLevelType w:val="hybridMultilevel"/>
    <w:tmpl w:val="53B001D6"/>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2"/>
  </w:num>
  <w:num w:numId="4">
    <w:abstractNumId w:val="4"/>
  </w:num>
  <w:num w:numId="5">
    <w:abstractNumId w:val="8"/>
  </w:num>
  <w:num w:numId="6">
    <w:abstractNumId w:val="25"/>
  </w:num>
  <w:num w:numId="7">
    <w:abstractNumId w:val="27"/>
  </w:num>
  <w:num w:numId="8">
    <w:abstractNumId w:val="0"/>
  </w:num>
  <w:num w:numId="9">
    <w:abstractNumId w:val="30"/>
  </w:num>
  <w:num w:numId="10">
    <w:abstractNumId w:val="21"/>
  </w:num>
  <w:num w:numId="11">
    <w:abstractNumId w:val="24"/>
  </w:num>
  <w:num w:numId="12">
    <w:abstractNumId w:val="14"/>
  </w:num>
  <w:num w:numId="13">
    <w:abstractNumId w:val="20"/>
  </w:num>
  <w:num w:numId="14">
    <w:abstractNumId w:val="1"/>
  </w:num>
  <w:num w:numId="15">
    <w:abstractNumId w:val="15"/>
  </w:num>
  <w:num w:numId="16">
    <w:abstractNumId w:val="7"/>
  </w:num>
  <w:num w:numId="17">
    <w:abstractNumId w:val="6"/>
  </w:num>
  <w:num w:numId="18">
    <w:abstractNumId w:val="11"/>
  </w:num>
  <w:num w:numId="19">
    <w:abstractNumId w:val="28"/>
  </w:num>
  <w:num w:numId="20">
    <w:abstractNumId w:val="2"/>
  </w:num>
  <w:num w:numId="21">
    <w:abstractNumId w:val="23"/>
  </w:num>
  <w:num w:numId="22">
    <w:abstractNumId w:val="16"/>
  </w:num>
  <w:num w:numId="23">
    <w:abstractNumId w:val="3"/>
  </w:num>
  <w:num w:numId="24">
    <w:abstractNumId w:val="26"/>
  </w:num>
  <w:num w:numId="25">
    <w:abstractNumId w:val="13"/>
  </w:num>
  <w:num w:numId="26">
    <w:abstractNumId w:val="31"/>
  </w:num>
  <w:num w:numId="27">
    <w:abstractNumId w:val="9"/>
  </w:num>
  <w:num w:numId="28">
    <w:abstractNumId w:val="29"/>
  </w:num>
  <w:num w:numId="29">
    <w:abstractNumId w:val="5"/>
  </w:num>
  <w:num w:numId="30">
    <w:abstractNumId w:val="18"/>
  </w:num>
  <w:num w:numId="31">
    <w:abstractNumId w:val="10"/>
  </w:num>
  <w:num w:numId="32">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ine Bachelier">
    <w15:presenceInfo w15:providerId="Windows Live" w15:userId="241fcd6559284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fr-FR" w:vendorID="64" w:dllVersion="4096" w:nlCheck="1" w:checkStyle="0"/>
  <w:activeWritingStyle w:appName="MSWord" w:lang="fr-FR"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05D2"/>
    <w:rsid w:val="00010B15"/>
    <w:rsid w:val="00011807"/>
    <w:rsid w:val="00014BBA"/>
    <w:rsid w:val="00014D66"/>
    <w:rsid w:val="0001704A"/>
    <w:rsid w:val="0002003A"/>
    <w:rsid w:val="00021180"/>
    <w:rsid w:val="000212BC"/>
    <w:rsid w:val="00021611"/>
    <w:rsid w:val="000216DF"/>
    <w:rsid w:val="00022878"/>
    <w:rsid w:val="00023D6A"/>
    <w:rsid w:val="00026AB3"/>
    <w:rsid w:val="00032184"/>
    <w:rsid w:val="0003292F"/>
    <w:rsid w:val="000330E5"/>
    <w:rsid w:val="00033525"/>
    <w:rsid w:val="000357A1"/>
    <w:rsid w:val="00036B49"/>
    <w:rsid w:val="000379EC"/>
    <w:rsid w:val="0004524D"/>
    <w:rsid w:val="0004739D"/>
    <w:rsid w:val="0005028A"/>
    <w:rsid w:val="00051326"/>
    <w:rsid w:val="000517AC"/>
    <w:rsid w:val="00051D08"/>
    <w:rsid w:val="00051ED4"/>
    <w:rsid w:val="00053881"/>
    <w:rsid w:val="00053FDA"/>
    <w:rsid w:val="0005758A"/>
    <w:rsid w:val="00057746"/>
    <w:rsid w:val="000609B3"/>
    <w:rsid w:val="000622A3"/>
    <w:rsid w:val="0006351E"/>
    <w:rsid w:val="00063FDB"/>
    <w:rsid w:val="000646B3"/>
    <w:rsid w:val="00065A23"/>
    <w:rsid w:val="000664DB"/>
    <w:rsid w:val="00070C77"/>
    <w:rsid w:val="0007106D"/>
    <w:rsid w:val="000713B4"/>
    <w:rsid w:val="00072074"/>
    <w:rsid w:val="000726FE"/>
    <w:rsid w:val="0007551E"/>
    <w:rsid w:val="00075B2E"/>
    <w:rsid w:val="00076AAB"/>
    <w:rsid w:val="00080A86"/>
    <w:rsid w:val="00080E73"/>
    <w:rsid w:val="000819CC"/>
    <w:rsid w:val="00081EEF"/>
    <w:rsid w:val="00082814"/>
    <w:rsid w:val="000831BA"/>
    <w:rsid w:val="00085516"/>
    <w:rsid w:val="0008603A"/>
    <w:rsid w:val="000865E3"/>
    <w:rsid w:val="0008757C"/>
    <w:rsid w:val="00090851"/>
    <w:rsid w:val="00091380"/>
    <w:rsid w:val="00091DC6"/>
    <w:rsid w:val="00093654"/>
    <w:rsid w:val="000940E0"/>
    <w:rsid w:val="0009537E"/>
    <w:rsid w:val="000964EF"/>
    <w:rsid w:val="00097220"/>
    <w:rsid w:val="000A1838"/>
    <w:rsid w:val="000A22F8"/>
    <w:rsid w:val="000A3107"/>
    <w:rsid w:val="000A4CC5"/>
    <w:rsid w:val="000A6500"/>
    <w:rsid w:val="000A6966"/>
    <w:rsid w:val="000A7661"/>
    <w:rsid w:val="000B07B4"/>
    <w:rsid w:val="000B22EA"/>
    <w:rsid w:val="000B2BA4"/>
    <w:rsid w:val="000B3376"/>
    <w:rsid w:val="000B683B"/>
    <w:rsid w:val="000C236C"/>
    <w:rsid w:val="000C441F"/>
    <w:rsid w:val="000C617B"/>
    <w:rsid w:val="000C6336"/>
    <w:rsid w:val="000C6C63"/>
    <w:rsid w:val="000C7BD2"/>
    <w:rsid w:val="000D032C"/>
    <w:rsid w:val="000D06DD"/>
    <w:rsid w:val="000D1A94"/>
    <w:rsid w:val="000D1AF9"/>
    <w:rsid w:val="000D28B0"/>
    <w:rsid w:val="000D34B2"/>
    <w:rsid w:val="000D4346"/>
    <w:rsid w:val="000D4B86"/>
    <w:rsid w:val="000D6097"/>
    <w:rsid w:val="000D631C"/>
    <w:rsid w:val="000D70E9"/>
    <w:rsid w:val="000E0A5E"/>
    <w:rsid w:val="000E0FE6"/>
    <w:rsid w:val="000E19CD"/>
    <w:rsid w:val="000E293A"/>
    <w:rsid w:val="000E2D9C"/>
    <w:rsid w:val="000E5212"/>
    <w:rsid w:val="000E6487"/>
    <w:rsid w:val="000E6C33"/>
    <w:rsid w:val="000F0A55"/>
    <w:rsid w:val="000F17EA"/>
    <w:rsid w:val="000F34F6"/>
    <w:rsid w:val="000F5125"/>
    <w:rsid w:val="000F5EF1"/>
    <w:rsid w:val="0010029D"/>
    <w:rsid w:val="00100B52"/>
    <w:rsid w:val="0010585B"/>
    <w:rsid w:val="0010770D"/>
    <w:rsid w:val="00114B13"/>
    <w:rsid w:val="001214F0"/>
    <w:rsid w:val="001218CE"/>
    <w:rsid w:val="00124E49"/>
    <w:rsid w:val="00126794"/>
    <w:rsid w:val="00126D12"/>
    <w:rsid w:val="00133CAE"/>
    <w:rsid w:val="00145552"/>
    <w:rsid w:val="001478F5"/>
    <w:rsid w:val="00147EC4"/>
    <w:rsid w:val="00150E8C"/>
    <w:rsid w:val="00152E28"/>
    <w:rsid w:val="00154857"/>
    <w:rsid w:val="001549B8"/>
    <w:rsid w:val="001555EE"/>
    <w:rsid w:val="0015752E"/>
    <w:rsid w:val="00161243"/>
    <w:rsid w:val="00161CFA"/>
    <w:rsid w:val="00162363"/>
    <w:rsid w:val="001631A6"/>
    <w:rsid w:val="00163A00"/>
    <w:rsid w:val="00163CB5"/>
    <w:rsid w:val="00163D77"/>
    <w:rsid w:val="001645ED"/>
    <w:rsid w:val="001660FA"/>
    <w:rsid w:val="00166CD2"/>
    <w:rsid w:val="00166F39"/>
    <w:rsid w:val="001670EB"/>
    <w:rsid w:val="00170ADA"/>
    <w:rsid w:val="0017173A"/>
    <w:rsid w:val="00172B5F"/>
    <w:rsid w:val="00173C3D"/>
    <w:rsid w:val="00175C42"/>
    <w:rsid w:val="001775FD"/>
    <w:rsid w:val="0018051A"/>
    <w:rsid w:val="00181925"/>
    <w:rsid w:val="00182F6C"/>
    <w:rsid w:val="00186793"/>
    <w:rsid w:val="00191101"/>
    <w:rsid w:val="00192CD9"/>
    <w:rsid w:val="00195526"/>
    <w:rsid w:val="001A068D"/>
    <w:rsid w:val="001A0F5F"/>
    <w:rsid w:val="001A18B9"/>
    <w:rsid w:val="001A2492"/>
    <w:rsid w:val="001B2385"/>
    <w:rsid w:val="001B46E8"/>
    <w:rsid w:val="001B53A5"/>
    <w:rsid w:val="001B595B"/>
    <w:rsid w:val="001C034B"/>
    <w:rsid w:val="001C1778"/>
    <w:rsid w:val="001C26B3"/>
    <w:rsid w:val="001C2A6E"/>
    <w:rsid w:val="001C36D4"/>
    <w:rsid w:val="001C37CE"/>
    <w:rsid w:val="001C38F8"/>
    <w:rsid w:val="001C4544"/>
    <w:rsid w:val="001D51C8"/>
    <w:rsid w:val="001E2E4F"/>
    <w:rsid w:val="001E46F5"/>
    <w:rsid w:val="001E4A38"/>
    <w:rsid w:val="001F1D88"/>
    <w:rsid w:val="001F3354"/>
    <w:rsid w:val="001F3CE4"/>
    <w:rsid w:val="001F6C62"/>
    <w:rsid w:val="001F6F92"/>
    <w:rsid w:val="001F7017"/>
    <w:rsid w:val="0020040E"/>
    <w:rsid w:val="002007E7"/>
    <w:rsid w:val="00203BF8"/>
    <w:rsid w:val="0020441C"/>
    <w:rsid w:val="002103EC"/>
    <w:rsid w:val="00211607"/>
    <w:rsid w:val="002116AB"/>
    <w:rsid w:val="00211997"/>
    <w:rsid w:val="00212876"/>
    <w:rsid w:val="00220E92"/>
    <w:rsid w:val="00221229"/>
    <w:rsid w:val="002220BC"/>
    <w:rsid w:val="0022338A"/>
    <w:rsid w:val="00223E04"/>
    <w:rsid w:val="00223F11"/>
    <w:rsid w:val="00226E91"/>
    <w:rsid w:val="0022780C"/>
    <w:rsid w:val="00230963"/>
    <w:rsid w:val="002329C5"/>
    <w:rsid w:val="00232B56"/>
    <w:rsid w:val="0023352A"/>
    <w:rsid w:val="00233644"/>
    <w:rsid w:val="00234B1C"/>
    <w:rsid w:val="00242FA6"/>
    <w:rsid w:val="00250D76"/>
    <w:rsid w:val="00251BFF"/>
    <w:rsid w:val="00252955"/>
    <w:rsid w:val="00254F71"/>
    <w:rsid w:val="002564F0"/>
    <w:rsid w:val="00257D05"/>
    <w:rsid w:val="00260F9A"/>
    <w:rsid w:val="00262450"/>
    <w:rsid w:val="00262AEA"/>
    <w:rsid w:val="002639E9"/>
    <w:rsid w:val="00265C4C"/>
    <w:rsid w:val="00266110"/>
    <w:rsid w:val="00267129"/>
    <w:rsid w:val="002677B3"/>
    <w:rsid w:val="00271E93"/>
    <w:rsid w:val="0027335F"/>
    <w:rsid w:val="00273856"/>
    <w:rsid w:val="00274684"/>
    <w:rsid w:val="00274737"/>
    <w:rsid w:val="00274FBF"/>
    <w:rsid w:val="00275836"/>
    <w:rsid w:val="0027646C"/>
    <w:rsid w:val="00276BC2"/>
    <w:rsid w:val="00281C02"/>
    <w:rsid w:val="00283F3D"/>
    <w:rsid w:val="002840E5"/>
    <w:rsid w:val="00284C8F"/>
    <w:rsid w:val="00286272"/>
    <w:rsid w:val="00286473"/>
    <w:rsid w:val="002874AD"/>
    <w:rsid w:val="00287C2C"/>
    <w:rsid w:val="00290016"/>
    <w:rsid w:val="00290DA3"/>
    <w:rsid w:val="002916EE"/>
    <w:rsid w:val="00296A29"/>
    <w:rsid w:val="002A0B3B"/>
    <w:rsid w:val="002A22F9"/>
    <w:rsid w:val="002A26FA"/>
    <w:rsid w:val="002A4128"/>
    <w:rsid w:val="002A5D02"/>
    <w:rsid w:val="002A6F1B"/>
    <w:rsid w:val="002B4367"/>
    <w:rsid w:val="002B4B36"/>
    <w:rsid w:val="002B643D"/>
    <w:rsid w:val="002B6ECD"/>
    <w:rsid w:val="002B7EB6"/>
    <w:rsid w:val="002C0CBD"/>
    <w:rsid w:val="002C24B4"/>
    <w:rsid w:val="002C32BC"/>
    <w:rsid w:val="002C3703"/>
    <w:rsid w:val="002C47A5"/>
    <w:rsid w:val="002C5CEB"/>
    <w:rsid w:val="002D04EA"/>
    <w:rsid w:val="002D3CA2"/>
    <w:rsid w:val="002D4A80"/>
    <w:rsid w:val="002D7683"/>
    <w:rsid w:val="002E2E2F"/>
    <w:rsid w:val="002E43CA"/>
    <w:rsid w:val="002E518F"/>
    <w:rsid w:val="002E7232"/>
    <w:rsid w:val="002E7B09"/>
    <w:rsid w:val="002F1038"/>
    <w:rsid w:val="002F12FC"/>
    <w:rsid w:val="002F24BA"/>
    <w:rsid w:val="002F267B"/>
    <w:rsid w:val="002F2C0D"/>
    <w:rsid w:val="002F3C26"/>
    <w:rsid w:val="00300E07"/>
    <w:rsid w:val="00303F03"/>
    <w:rsid w:val="003123CB"/>
    <w:rsid w:val="003127AF"/>
    <w:rsid w:val="00312A62"/>
    <w:rsid w:val="00313C11"/>
    <w:rsid w:val="003160F4"/>
    <w:rsid w:val="0031694C"/>
    <w:rsid w:val="00320BF8"/>
    <w:rsid w:val="00321839"/>
    <w:rsid w:val="00321B6E"/>
    <w:rsid w:val="003228E2"/>
    <w:rsid w:val="003262C1"/>
    <w:rsid w:val="003307C6"/>
    <w:rsid w:val="003318EA"/>
    <w:rsid w:val="0033196F"/>
    <w:rsid w:val="003321CF"/>
    <w:rsid w:val="00332BF4"/>
    <w:rsid w:val="00333DE1"/>
    <w:rsid w:val="00341DFC"/>
    <w:rsid w:val="003437FC"/>
    <w:rsid w:val="0034453B"/>
    <w:rsid w:val="00345214"/>
    <w:rsid w:val="00345E46"/>
    <w:rsid w:val="00347141"/>
    <w:rsid w:val="00347D57"/>
    <w:rsid w:val="00350457"/>
    <w:rsid w:val="00352346"/>
    <w:rsid w:val="003524DF"/>
    <w:rsid w:val="00352844"/>
    <w:rsid w:val="00356B7A"/>
    <w:rsid w:val="00361D92"/>
    <w:rsid w:val="00363999"/>
    <w:rsid w:val="00363B5A"/>
    <w:rsid w:val="003647B9"/>
    <w:rsid w:val="0037231D"/>
    <w:rsid w:val="00372EC7"/>
    <w:rsid w:val="00373184"/>
    <w:rsid w:val="00373585"/>
    <w:rsid w:val="0037460D"/>
    <w:rsid w:val="003848C6"/>
    <w:rsid w:val="00391C32"/>
    <w:rsid w:val="0039477A"/>
    <w:rsid w:val="003977B0"/>
    <w:rsid w:val="003A18F3"/>
    <w:rsid w:val="003A7A3E"/>
    <w:rsid w:val="003B0C3B"/>
    <w:rsid w:val="003B33B9"/>
    <w:rsid w:val="003B465A"/>
    <w:rsid w:val="003B603E"/>
    <w:rsid w:val="003C1B8C"/>
    <w:rsid w:val="003C1E75"/>
    <w:rsid w:val="003D00DA"/>
    <w:rsid w:val="003D0494"/>
    <w:rsid w:val="003D2986"/>
    <w:rsid w:val="003D35A8"/>
    <w:rsid w:val="003D594F"/>
    <w:rsid w:val="003E0DEE"/>
    <w:rsid w:val="003E237E"/>
    <w:rsid w:val="003E39D3"/>
    <w:rsid w:val="003E5359"/>
    <w:rsid w:val="003E661C"/>
    <w:rsid w:val="003F13A5"/>
    <w:rsid w:val="003F1F6A"/>
    <w:rsid w:val="003F782D"/>
    <w:rsid w:val="00402F3B"/>
    <w:rsid w:val="00403B84"/>
    <w:rsid w:val="0040421F"/>
    <w:rsid w:val="004048C6"/>
    <w:rsid w:val="00405361"/>
    <w:rsid w:val="00412625"/>
    <w:rsid w:val="00412C40"/>
    <w:rsid w:val="00413521"/>
    <w:rsid w:val="00421D27"/>
    <w:rsid w:val="00422252"/>
    <w:rsid w:val="00422DBB"/>
    <w:rsid w:val="00423945"/>
    <w:rsid w:val="00424479"/>
    <w:rsid w:val="00424E69"/>
    <w:rsid w:val="0042627B"/>
    <w:rsid w:val="00430399"/>
    <w:rsid w:val="00434161"/>
    <w:rsid w:val="00434873"/>
    <w:rsid w:val="00436C80"/>
    <w:rsid w:val="00440011"/>
    <w:rsid w:val="0044045F"/>
    <w:rsid w:val="004438C0"/>
    <w:rsid w:val="00453276"/>
    <w:rsid w:val="00453278"/>
    <w:rsid w:val="0045348F"/>
    <w:rsid w:val="0045535A"/>
    <w:rsid w:val="00457E6A"/>
    <w:rsid w:val="00461CDE"/>
    <w:rsid w:val="00461CF0"/>
    <w:rsid w:val="00462EBC"/>
    <w:rsid w:val="00464C1D"/>
    <w:rsid w:val="004657B5"/>
    <w:rsid w:val="00470E35"/>
    <w:rsid w:val="00471432"/>
    <w:rsid w:val="004719D7"/>
    <w:rsid w:val="00473EBB"/>
    <w:rsid w:val="00474AF3"/>
    <w:rsid w:val="00475A19"/>
    <w:rsid w:val="0047652F"/>
    <w:rsid w:val="004805A7"/>
    <w:rsid w:val="00483A00"/>
    <w:rsid w:val="00483B3A"/>
    <w:rsid w:val="00487AA0"/>
    <w:rsid w:val="00492385"/>
    <w:rsid w:val="0049356C"/>
    <w:rsid w:val="00495015"/>
    <w:rsid w:val="00496AC7"/>
    <w:rsid w:val="004973EE"/>
    <w:rsid w:val="00497599"/>
    <w:rsid w:val="00497E11"/>
    <w:rsid w:val="004A0C50"/>
    <w:rsid w:val="004A1C60"/>
    <w:rsid w:val="004A2696"/>
    <w:rsid w:val="004A56FB"/>
    <w:rsid w:val="004A6502"/>
    <w:rsid w:val="004B1395"/>
    <w:rsid w:val="004B32E7"/>
    <w:rsid w:val="004B3EA8"/>
    <w:rsid w:val="004B441F"/>
    <w:rsid w:val="004B5D52"/>
    <w:rsid w:val="004B6880"/>
    <w:rsid w:val="004B716B"/>
    <w:rsid w:val="004B78B6"/>
    <w:rsid w:val="004C19F0"/>
    <w:rsid w:val="004C3048"/>
    <w:rsid w:val="004C3CA8"/>
    <w:rsid w:val="004C5D38"/>
    <w:rsid w:val="004D0F1C"/>
    <w:rsid w:val="004D20B4"/>
    <w:rsid w:val="004D43AC"/>
    <w:rsid w:val="004D46F9"/>
    <w:rsid w:val="004D5130"/>
    <w:rsid w:val="004D57E5"/>
    <w:rsid w:val="004D69D4"/>
    <w:rsid w:val="004E012E"/>
    <w:rsid w:val="004E0576"/>
    <w:rsid w:val="004E05DF"/>
    <w:rsid w:val="004E0DBC"/>
    <w:rsid w:val="004E1B5C"/>
    <w:rsid w:val="004E4609"/>
    <w:rsid w:val="004E480B"/>
    <w:rsid w:val="004E4A10"/>
    <w:rsid w:val="004E4A66"/>
    <w:rsid w:val="004E4B10"/>
    <w:rsid w:val="004E6BEE"/>
    <w:rsid w:val="004F0365"/>
    <w:rsid w:val="004F1DBF"/>
    <w:rsid w:val="00501C25"/>
    <w:rsid w:val="005031B3"/>
    <w:rsid w:val="0050422B"/>
    <w:rsid w:val="0050591B"/>
    <w:rsid w:val="005111E0"/>
    <w:rsid w:val="00512808"/>
    <w:rsid w:val="00512C93"/>
    <w:rsid w:val="00516E7B"/>
    <w:rsid w:val="00523403"/>
    <w:rsid w:val="005314F7"/>
    <w:rsid w:val="00533B65"/>
    <w:rsid w:val="00534DFF"/>
    <w:rsid w:val="005364F1"/>
    <w:rsid w:val="0053778D"/>
    <w:rsid w:val="00540527"/>
    <w:rsid w:val="00544620"/>
    <w:rsid w:val="0054619B"/>
    <w:rsid w:val="005463CC"/>
    <w:rsid w:val="00551A4B"/>
    <w:rsid w:val="00552611"/>
    <w:rsid w:val="00552A13"/>
    <w:rsid w:val="00553F8C"/>
    <w:rsid w:val="00554C75"/>
    <w:rsid w:val="00554F13"/>
    <w:rsid w:val="00556CF2"/>
    <w:rsid w:val="00560443"/>
    <w:rsid w:val="00560E73"/>
    <w:rsid w:val="005625E8"/>
    <w:rsid w:val="00563DF7"/>
    <w:rsid w:val="00564AEE"/>
    <w:rsid w:val="00565F92"/>
    <w:rsid w:val="00566C65"/>
    <w:rsid w:val="0056763A"/>
    <w:rsid w:val="00567814"/>
    <w:rsid w:val="00571C51"/>
    <w:rsid w:val="0057232A"/>
    <w:rsid w:val="00572637"/>
    <w:rsid w:val="00573F62"/>
    <w:rsid w:val="00576A39"/>
    <w:rsid w:val="00576E43"/>
    <w:rsid w:val="005807D5"/>
    <w:rsid w:val="00581A40"/>
    <w:rsid w:val="00583853"/>
    <w:rsid w:val="00583ADE"/>
    <w:rsid w:val="005848B6"/>
    <w:rsid w:val="00585834"/>
    <w:rsid w:val="0058665E"/>
    <w:rsid w:val="00587D7E"/>
    <w:rsid w:val="00587D82"/>
    <w:rsid w:val="0059293F"/>
    <w:rsid w:val="00593BFB"/>
    <w:rsid w:val="005947BF"/>
    <w:rsid w:val="00595778"/>
    <w:rsid w:val="00596916"/>
    <w:rsid w:val="00597B03"/>
    <w:rsid w:val="005A0D9A"/>
    <w:rsid w:val="005A1E01"/>
    <w:rsid w:val="005A32B9"/>
    <w:rsid w:val="005A4E0C"/>
    <w:rsid w:val="005A6E4E"/>
    <w:rsid w:val="005B05E5"/>
    <w:rsid w:val="005B27FD"/>
    <w:rsid w:val="005B46C8"/>
    <w:rsid w:val="005C00F0"/>
    <w:rsid w:val="005C07C8"/>
    <w:rsid w:val="005C0EA0"/>
    <w:rsid w:val="005C32C7"/>
    <w:rsid w:val="005C6152"/>
    <w:rsid w:val="005C6A0B"/>
    <w:rsid w:val="005C7BFC"/>
    <w:rsid w:val="005D0A39"/>
    <w:rsid w:val="005D2ADF"/>
    <w:rsid w:val="005D4E10"/>
    <w:rsid w:val="005D6DD8"/>
    <w:rsid w:val="005D7D58"/>
    <w:rsid w:val="005E08CF"/>
    <w:rsid w:val="005E1A28"/>
    <w:rsid w:val="005F27E5"/>
    <w:rsid w:val="005F3FFE"/>
    <w:rsid w:val="005F425E"/>
    <w:rsid w:val="005F4720"/>
    <w:rsid w:val="005F5044"/>
    <w:rsid w:val="005F6B14"/>
    <w:rsid w:val="005F6C95"/>
    <w:rsid w:val="00600155"/>
    <w:rsid w:val="00600C9E"/>
    <w:rsid w:val="00603678"/>
    <w:rsid w:val="00603EAE"/>
    <w:rsid w:val="0060400F"/>
    <w:rsid w:val="0060482D"/>
    <w:rsid w:val="00605237"/>
    <w:rsid w:val="00605E6C"/>
    <w:rsid w:val="0060609D"/>
    <w:rsid w:val="0060633D"/>
    <w:rsid w:val="0060634A"/>
    <w:rsid w:val="006072DF"/>
    <w:rsid w:val="00610695"/>
    <w:rsid w:val="00610BF7"/>
    <w:rsid w:val="0061160A"/>
    <w:rsid w:val="006116D8"/>
    <w:rsid w:val="00615DD2"/>
    <w:rsid w:val="00617D2F"/>
    <w:rsid w:val="00621096"/>
    <w:rsid w:val="00622D90"/>
    <w:rsid w:val="00623513"/>
    <w:rsid w:val="00624327"/>
    <w:rsid w:val="0062488E"/>
    <w:rsid w:val="006259B0"/>
    <w:rsid w:val="00626A0B"/>
    <w:rsid w:val="00631ADD"/>
    <w:rsid w:val="006342BB"/>
    <w:rsid w:val="0063532E"/>
    <w:rsid w:val="006363C6"/>
    <w:rsid w:val="006445F7"/>
    <w:rsid w:val="006457B3"/>
    <w:rsid w:val="00646B77"/>
    <w:rsid w:val="0065404F"/>
    <w:rsid w:val="006611E7"/>
    <w:rsid w:val="006639F5"/>
    <w:rsid w:val="00663B51"/>
    <w:rsid w:val="00663CEB"/>
    <w:rsid w:val="00665779"/>
    <w:rsid w:val="00666CCB"/>
    <w:rsid w:val="00667433"/>
    <w:rsid w:val="00667CD3"/>
    <w:rsid w:val="00674097"/>
    <w:rsid w:val="00676860"/>
    <w:rsid w:val="00677F4D"/>
    <w:rsid w:val="00680679"/>
    <w:rsid w:val="00680E59"/>
    <w:rsid w:val="00681ED6"/>
    <w:rsid w:val="00681FAD"/>
    <w:rsid w:val="00683BDF"/>
    <w:rsid w:val="006840E1"/>
    <w:rsid w:val="00690A79"/>
    <w:rsid w:val="0069169D"/>
    <w:rsid w:val="00693E06"/>
    <w:rsid w:val="00694833"/>
    <w:rsid w:val="00695A5C"/>
    <w:rsid w:val="00697FC0"/>
    <w:rsid w:val="006A0066"/>
    <w:rsid w:val="006A1874"/>
    <w:rsid w:val="006A1B0C"/>
    <w:rsid w:val="006A211E"/>
    <w:rsid w:val="006A5247"/>
    <w:rsid w:val="006A548B"/>
    <w:rsid w:val="006A6523"/>
    <w:rsid w:val="006A6B56"/>
    <w:rsid w:val="006A6BE5"/>
    <w:rsid w:val="006A729F"/>
    <w:rsid w:val="006B1200"/>
    <w:rsid w:val="006B23B6"/>
    <w:rsid w:val="006B4CDF"/>
    <w:rsid w:val="006B775B"/>
    <w:rsid w:val="006C0571"/>
    <w:rsid w:val="006C4067"/>
    <w:rsid w:val="006C6039"/>
    <w:rsid w:val="006C793F"/>
    <w:rsid w:val="006C7BAE"/>
    <w:rsid w:val="006D1795"/>
    <w:rsid w:val="006D5421"/>
    <w:rsid w:val="006D6221"/>
    <w:rsid w:val="006D6440"/>
    <w:rsid w:val="006E1FCE"/>
    <w:rsid w:val="006E21E8"/>
    <w:rsid w:val="006E2BB8"/>
    <w:rsid w:val="006E2FF3"/>
    <w:rsid w:val="006E319B"/>
    <w:rsid w:val="006E333A"/>
    <w:rsid w:val="006E5BF7"/>
    <w:rsid w:val="006E6AD9"/>
    <w:rsid w:val="006E7CE0"/>
    <w:rsid w:val="006F105F"/>
    <w:rsid w:val="006F3982"/>
    <w:rsid w:val="006F3C17"/>
    <w:rsid w:val="006F4037"/>
    <w:rsid w:val="006F45CE"/>
    <w:rsid w:val="006F49C8"/>
    <w:rsid w:val="006F5EC1"/>
    <w:rsid w:val="00702C42"/>
    <w:rsid w:val="00705591"/>
    <w:rsid w:val="00705EF1"/>
    <w:rsid w:val="00715970"/>
    <w:rsid w:val="0071698A"/>
    <w:rsid w:val="00717161"/>
    <w:rsid w:val="00720366"/>
    <w:rsid w:val="007205E4"/>
    <w:rsid w:val="00721353"/>
    <w:rsid w:val="00721D03"/>
    <w:rsid w:val="00725401"/>
    <w:rsid w:val="00725C78"/>
    <w:rsid w:val="007277D6"/>
    <w:rsid w:val="007306C7"/>
    <w:rsid w:val="007319B0"/>
    <w:rsid w:val="00733B6D"/>
    <w:rsid w:val="0073731E"/>
    <w:rsid w:val="0074074F"/>
    <w:rsid w:val="007418C1"/>
    <w:rsid w:val="00741F24"/>
    <w:rsid w:val="00742285"/>
    <w:rsid w:val="007429E9"/>
    <w:rsid w:val="00743918"/>
    <w:rsid w:val="007450BD"/>
    <w:rsid w:val="00746979"/>
    <w:rsid w:val="00750A2F"/>
    <w:rsid w:val="007524AE"/>
    <w:rsid w:val="007537CE"/>
    <w:rsid w:val="00753F64"/>
    <w:rsid w:val="007547B3"/>
    <w:rsid w:val="00755F07"/>
    <w:rsid w:val="00760454"/>
    <w:rsid w:val="007608DB"/>
    <w:rsid w:val="00761101"/>
    <w:rsid w:val="00762300"/>
    <w:rsid w:val="007630D3"/>
    <w:rsid w:val="007638F1"/>
    <w:rsid w:val="0076562E"/>
    <w:rsid w:val="00766660"/>
    <w:rsid w:val="00767903"/>
    <w:rsid w:val="00767B8E"/>
    <w:rsid w:val="00767E13"/>
    <w:rsid w:val="0077280F"/>
    <w:rsid w:val="007729B2"/>
    <w:rsid w:val="00774469"/>
    <w:rsid w:val="007745C7"/>
    <w:rsid w:val="007754EC"/>
    <w:rsid w:val="00776FB8"/>
    <w:rsid w:val="00777BEF"/>
    <w:rsid w:val="0078171A"/>
    <w:rsid w:val="00782F1F"/>
    <w:rsid w:val="007834E8"/>
    <w:rsid w:val="00783D14"/>
    <w:rsid w:val="007900D4"/>
    <w:rsid w:val="00790463"/>
    <w:rsid w:val="00790DF6"/>
    <w:rsid w:val="00790F67"/>
    <w:rsid w:val="00792574"/>
    <w:rsid w:val="007932A1"/>
    <w:rsid w:val="00793CD6"/>
    <w:rsid w:val="0079439A"/>
    <w:rsid w:val="007946E1"/>
    <w:rsid w:val="00794D56"/>
    <w:rsid w:val="007957A1"/>
    <w:rsid w:val="0079722D"/>
    <w:rsid w:val="007973E4"/>
    <w:rsid w:val="007A182D"/>
    <w:rsid w:val="007A4D9E"/>
    <w:rsid w:val="007A5D27"/>
    <w:rsid w:val="007B24D6"/>
    <w:rsid w:val="007B252E"/>
    <w:rsid w:val="007B3322"/>
    <w:rsid w:val="007B3810"/>
    <w:rsid w:val="007B61BD"/>
    <w:rsid w:val="007C28BB"/>
    <w:rsid w:val="007C2EBC"/>
    <w:rsid w:val="007C31CE"/>
    <w:rsid w:val="007C5054"/>
    <w:rsid w:val="007C68DB"/>
    <w:rsid w:val="007C6B84"/>
    <w:rsid w:val="007C6F93"/>
    <w:rsid w:val="007C7C30"/>
    <w:rsid w:val="007D17E9"/>
    <w:rsid w:val="007D1A9B"/>
    <w:rsid w:val="007D27C0"/>
    <w:rsid w:val="007D2F1C"/>
    <w:rsid w:val="007D309B"/>
    <w:rsid w:val="007D39E2"/>
    <w:rsid w:val="007D4D1D"/>
    <w:rsid w:val="007D4D2B"/>
    <w:rsid w:val="007D5236"/>
    <w:rsid w:val="007D5DBF"/>
    <w:rsid w:val="007D68A7"/>
    <w:rsid w:val="007E01EB"/>
    <w:rsid w:val="007E10A6"/>
    <w:rsid w:val="007E1194"/>
    <w:rsid w:val="007E3425"/>
    <w:rsid w:val="007E504D"/>
    <w:rsid w:val="007E53CC"/>
    <w:rsid w:val="007E604F"/>
    <w:rsid w:val="007E6CA0"/>
    <w:rsid w:val="007E6F43"/>
    <w:rsid w:val="007F02E0"/>
    <w:rsid w:val="007F1ADA"/>
    <w:rsid w:val="007F4620"/>
    <w:rsid w:val="007F6195"/>
    <w:rsid w:val="00800E91"/>
    <w:rsid w:val="008023DD"/>
    <w:rsid w:val="00805F00"/>
    <w:rsid w:val="00810147"/>
    <w:rsid w:val="00812ADE"/>
    <w:rsid w:val="00812D11"/>
    <w:rsid w:val="00813E3A"/>
    <w:rsid w:val="00814B35"/>
    <w:rsid w:val="00814F9D"/>
    <w:rsid w:val="00816680"/>
    <w:rsid w:val="00822393"/>
    <w:rsid w:val="008223FB"/>
    <w:rsid w:val="00823FEA"/>
    <w:rsid w:val="008246AC"/>
    <w:rsid w:val="00825041"/>
    <w:rsid w:val="008256AD"/>
    <w:rsid w:val="00827287"/>
    <w:rsid w:val="00830D79"/>
    <w:rsid w:val="0083276F"/>
    <w:rsid w:val="00832D40"/>
    <w:rsid w:val="00836669"/>
    <w:rsid w:val="008367CE"/>
    <w:rsid w:val="00836E7B"/>
    <w:rsid w:val="00837CC0"/>
    <w:rsid w:val="0084043F"/>
    <w:rsid w:val="008425E6"/>
    <w:rsid w:val="0084501E"/>
    <w:rsid w:val="00847658"/>
    <w:rsid w:val="00850418"/>
    <w:rsid w:val="00850E11"/>
    <w:rsid w:val="008555A9"/>
    <w:rsid w:val="008557C0"/>
    <w:rsid w:val="00860860"/>
    <w:rsid w:val="00860B9D"/>
    <w:rsid w:val="00860D87"/>
    <w:rsid w:val="00863C7D"/>
    <w:rsid w:val="00863FFB"/>
    <w:rsid w:val="008641F5"/>
    <w:rsid w:val="00864CD7"/>
    <w:rsid w:val="00864FC7"/>
    <w:rsid w:val="00866D1B"/>
    <w:rsid w:val="00871239"/>
    <w:rsid w:val="00872251"/>
    <w:rsid w:val="00874330"/>
    <w:rsid w:val="00876DEC"/>
    <w:rsid w:val="00880048"/>
    <w:rsid w:val="00883379"/>
    <w:rsid w:val="00884583"/>
    <w:rsid w:val="00885B9D"/>
    <w:rsid w:val="008871AB"/>
    <w:rsid w:val="00887580"/>
    <w:rsid w:val="00891579"/>
    <w:rsid w:val="00895A58"/>
    <w:rsid w:val="00895B39"/>
    <w:rsid w:val="008A2C05"/>
    <w:rsid w:val="008A3A8C"/>
    <w:rsid w:val="008A58A1"/>
    <w:rsid w:val="008A7019"/>
    <w:rsid w:val="008B04CC"/>
    <w:rsid w:val="008B1FBA"/>
    <w:rsid w:val="008B3ABF"/>
    <w:rsid w:val="008B4C63"/>
    <w:rsid w:val="008B4E18"/>
    <w:rsid w:val="008B7C0F"/>
    <w:rsid w:val="008C100A"/>
    <w:rsid w:val="008C1DC6"/>
    <w:rsid w:val="008C6101"/>
    <w:rsid w:val="008C682A"/>
    <w:rsid w:val="008C6B20"/>
    <w:rsid w:val="008C7096"/>
    <w:rsid w:val="008D1246"/>
    <w:rsid w:val="008D20CE"/>
    <w:rsid w:val="008D506B"/>
    <w:rsid w:val="008D50FB"/>
    <w:rsid w:val="008D5872"/>
    <w:rsid w:val="008D67A9"/>
    <w:rsid w:val="008D721E"/>
    <w:rsid w:val="008E0650"/>
    <w:rsid w:val="008E0E4B"/>
    <w:rsid w:val="008E150E"/>
    <w:rsid w:val="008E201E"/>
    <w:rsid w:val="008E2CBE"/>
    <w:rsid w:val="008E2F03"/>
    <w:rsid w:val="008E4291"/>
    <w:rsid w:val="008F0665"/>
    <w:rsid w:val="008F0FAF"/>
    <w:rsid w:val="008F3C44"/>
    <w:rsid w:val="008F5AF5"/>
    <w:rsid w:val="008F683C"/>
    <w:rsid w:val="008F68B0"/>
    <w:rsid w:val="009006E8"/>
    <w:rsid w:val="00902EE8"/>
    <w:rsid w:val="009032DD"/>
    <w:rsid w:val="009065FC"/>
    <w:rsid w:val="00906714"/>
    <w:rsid w:val="00906AB8"/>
    <w:rsid w:val="00906EE6"/>
    <w:rsid w:val="0090737E"/>
    <w:rsid w:val="00912F4F"/>
    <w:rsid w:val="00913A96"/>
    <w:rsid w:val="00913E4A"/>
    <w:rsid w:val="0092057B"/>
    <w:rsid w:val="009206E8"/>
    <w:rsid w:val="00922580"/>
    <w:rsid w:val="00922587"/>
    <w:rsid w:val="009229BD"/>
    <w:rsid w:val="00923F44"/>
    <w:rsid w:val="00931064"/>
    <w:rsid w:val="0093381D"/>
    <w:rsid w:val="00934FF4"/>
    <w:rsid w:val="009356EA"/>
    <w:rsid w:val="00935B58"/>
    <w:rsid w:val="0094181C"/>
    <w:rsid w:val="00941A76"/>
    <w:rsid w:val="00941C5C"/>
    <w:rsid w:val="00950306"/>
    <w:rsid w:val="00950652"/>
    <w:rsid w:val="00951054"/>
    <w:rsid w:val="009510F9"/>
    <w:rsid w:val="00951607"/>
    <w:rsid w:val="00952F18"/>
    <w:rsid w:val="00953725"/>
    <w:rsid w:val="0095462D"/>
    <w:rsid w:val="00955606"/>
    <w:rsid w:val="0096117E"/>
    <w:rsid w:val="00961F20"/>
    <w:rsid w:val="00965DB5"/>
    <w:rsid w:val="00967B87"/>
    <w:rsid w:val="00971C9A"/>
    <w:rsid w:val="00972E80"/>
    <w:rsid w:val="00972EC6"/>
    <w:rsid w:val="00972F79"/>
    <w:rsid w:val="009742D3"/>
    <w:rsid w:val="00975E6F"/>
    <w:rsid w:val="00977CA1"/>
    <w:rsid w:val="0098086C"/>
    <w:rsid w:val="00982511"/>
    <w:rsid w:val="009830E0"/>
    <w:rsid w:val="009848BB"/>
    <w:rsid w:val="0098525D"/>
    <w:rsid w:val="00986AF7"/>
    <w:rsid w:val="0098717E"/>
    <w:rsid w:val="00987475"/>
    <w:rsid w:val="00991BDE"/>
    <w:rsid w:val="00993A10"/>
    <w:rsid w:val="009955F3"/>
    <w:rsid w:val="00995F21"/>
    <w:rsid w:val="009A0714"/>
    <w:rsid w:val="009A098F"/>
    <w:rsid w:val="009A0EA0"/>
    <w:rsid w:val="009A160E"/>
    <w:rsid w:val="009A4279"/>
    <w:rsid w:val="009A46E8"/>
    <w:rsid w:val="009A51E9"/>
    <w:rsid w:val="009A59CE"/>
    <w:rsid w:val="009A6999"/>
    <w:rsid w:val="009B03E6"/>
    <w:rsid w:val="009B048F"/>
    <w:rsid w:val="009B6945"/>
    <w:rsid w:val="009B6BA5"/>
    <w:rsid w:val="009C0117"/>
    <w:rsid w:val="009C35FA"/>
    <w:rsid w:val="009C60DD"/>
    <w:rsid w:val="009D006E"/>
    <w:rsid w:val="009D0ECA"/>
    <w:rsid w:val="009D19A7"/>
    <w:rsid w:val="009D4270"/>
    <w:rsid w:val="009D450A"/>
    <w:rsid w:val="009D4605"/>
    <w:rsid w:val="009D5BC9"/>
    <w:rsid w:val="009D6B41"/>
    <w:rsid w:val="009E0188"/>
    <w:rsid w:val="009E15A6"/>
    <w:rsid w:val="009E169F"/>
    <w:rsid w:val="009E1CF7"/>
    <w:rsid w:val="009E2549"/>
    <w:rsid w:val="009E4CD1"/>
    <w:rsid w:val="009E71DE"/>
    <w:rsid w:val="009F12CB"/>
    <w:rsid w:val="009F2764"/>
    <w:rsid w:val="009F4F4F"/>
    <w:rsid w:val="009F661E"/>
    <w:rsid w:val="009F6B84"/>
    <w:rsid w:val="009F7448"/>
    <w:rsid w:val="009F7CDF"/>
    <w:rsid w:val="00A01407"/>
    <w:rsid w:val="00A017B1"/>
    <w:rsid w:val="00A0226E"/>
    <w:rsid w:val="00A02417"/>
    <w:rsid w:val="00A0260E"/>
    <w:rsid w:val="00A03E5D"/>
    <w:rsid w:val="00A07E4A"/>
    <w:rsid w:val="00A1004D"/>
    <w:rsid w:val="00A10828"/>
    <w:rsid w:val="00A10969"/>
    <w:rsid w:val="00A115FB"/>
    <w:rsid w:val="00A11F36"/>
    <w:rsid w:val="00A14D8D"/>
    <w:rsid w:val="00A17A13"/>
    <w:rsid w:val="00A17F24"/>
    <w:rsid w:val="00A21321"/>
    <w:rsid w:val="00A2225B"/>
    <w:rsid w:val="00A222F7"/>
    <w:rsid w:val="00A2274B"/>
    <w:rsid w:val="00A22F96"/>
    <w:rsid w:val="00A232A0"/>
    <w:rsid w:val="00A247FB"/>
    <w:rsid w:val="00A2798C"/>
    <w:rsid w:val="00A27C2B"/>
    <w:rsid w:val="00A30B53"/>
    <w:rsid w:val="00A30DEA"/>
    <w:rsid w:val="00A32EEE"/>
    <w:rsid w:val="00A348F9"/>
    <w:rsid w:val="00A34DDA"/>
    <w:rsid w:val="00A36D4D"/>
    <w:rsid w:val="00A3748D"/>
    <w:rsid w:val="00A4014B"/>
    <w:rsid w:val="00A4075B"/>
    <w:rsid w:val="00A41DF5"/>
    <w:rsid w:val="00A432E2"/>
    <w:rsid w:val="00A4420C"/>
    <w:rsid w:val="00A45B5B"/>
    <w:rsid w:val="00A45E84"/>
    <w:rsid w:val="00A47060"/>
    <w:rsid w:val="00A516B6"/>
    <w:rsid w:val="00A53D52"/>
    <w:rsid w:val="00A53E09"/>
    <w:rsid w:val="00A54F98"/>
    <w:rsid w:val="00A553B1"/>
    <w:rsid w:val="00A56ECA"/>
    <w:rsid w:val="00A60719"/>
    <w:rsid w:val="00A61CAD"/>
    <w:rsid w:val="00A637D8"/>
    <w:rsid w:val="00A63B38"/>
    <w:rsid w:val="00A7119E"/>
    <w:rsid w:val="00A719A8"/>
    <w:rsid w:val="00A71E8D"/>
    <w:rsid w:val="00A71F8C"/>
    <w:rsid w:val="00A72F3C"/>
    <w:rsid w:val="00A74BF4"/>
    <w:rsid w:val="00A7589C"/>
    <w:rsid w:val="00A75AF8"/>
    <w:rsid w:val="00A769F4"/>
    <w:rsid w:val="00A76B40"/>
    <w:rsid w:val="00A80344"/>
    <w:rsid w:val="00A80B11"/>
    <w:rsid w:val="00A80BAD"/>
    <w:rsid w:val="00A8242C"/>
    <w:rsid w:val="00A82AB2"/>
    <w:rsid w:val="00A852A5"/>
    <w:rsid w:val="00A87035"/>
    <w:rsid w:val="00A8726E"/>
    <w:rsid w:val="00A901AE"/>
    <w:rsid w:val="00A90634"/>
    <w:rsid w:val="00A90B4C"/>
    <w:rsid w:val="00A91734"/>
    <w:rsid w:val="00A91787"/>
    <w:rsid w:val="00A91F13"/>
    <w:rsid w:val="00A927A2"/>
    <w:rsid w:val="00A9317D"/>
    <w:rsid w:val="00A9424C"/>
    <w:rsid w:val="00A94E54"/>
    <w:rsid w:val="00A95483"/>
    <w:rsid w:val="00A96B9A"/>
    <w:rsid w:val="00AA0C7B"/>
    <w:rsid w:val="00AA281A"/>
    <w:rsid w:val="00AA3B91"/>
    <w:rsid w:val="00AA40F6"/>
    <w:rsid w:val="00AA444F"/>
    <w:rsid w:val="00AA455F"/>
    <w:rsid w:val="00AA5996"/>
    <w:rsid w:val="00AA672E"/>
    <w:rsid w:val="00AA6C78"/>
    <w:rsid w:val="00AA7856"/>
    <w:rsid w:val="00AB50EC"/>
    <w:rsid w:val="00AB5590"/>
    <w:rsid w:val="00AB6048"/>
    <w:rsid w:val="00AB7A37"/>
    <w:rsid w:val="00AC27FD"/>
    <w:rsid w:val="00AC3E61"/>
    <w:rsid w:val="00AC4090"/>
    <w:rsid w:val="00AC65D8"/>
    <w:rsid w:val="00AC6645"/>
    <w:rsid w:val="00AD0B16"/>
    <w:rsid w:val="00AD15A1"/>
    <w:rsid w:val="00AD1CEF"/>
    <w:rsid w:val="00AD322A"/>
    <w:rsid w:val="00AD614C"/>
    <w:rsid w:val="00AD7158"/>
    <w:rsid w:val="00AE064A"/>
    <w:rsid w:val="00AE0B9D"/>
    <w:rsid w:val="00AE2542"/>
    <w:rsid w:val="00AE2DA1"/>
    <w:rsid w:val="00AE3D1F"/>
    <w:rsid w:val="00AE3D4A"/>
    <w:rsid w:val="00AF008F"/>
    <w:rsid w:val="00AF2D2C"/>
    <w:rsid w:val="00AF339D"/>
    <w:rsid w:val="00AF3F46"/>
    <w:rsid w:val="00AF4778"/>
    <w:rsid w:val="00AF4D88"/>
    <w:rsid w:val="00AF4E8B"/>
    <w:rsid w:val="00AF5EAB"/>
    <w:rsid w:val="00AF651A"/>
    <w:rsid w:val="00AF7BC2"/>
    <w:rsid w:val="00AF7D97"/>
    <w:rsid w:val="00B00A00"/>
    <w:rsid w:val="00B01571"/>
    <w:rsid w:val="00B045E9"/>
    <w:rsid w:val="00B06FF6"/>
    <w:rsid w:val="00B07C27"/>
    <w:rsid w:val="00B116BD"/>
    <w:rsid w:val="00B11E8C"/>
    <w:rsid w:val="00B2126C"/>
    <w:rsid w:val="00B22D43"/>
    <w:rsid w:val="00B268D9"/>
    <w:rsid w:val="00B30833"/>
    <w:rsid w:val="00B3234D"/>
    <w:rsid w:val="00B32623"/>
    <w:rsid w:val="00B41229"/>
    <w:rsid w:val="00B41EF5"/>
    <w:rsid w:val="00B46821"/>
    <w:rsid w:val="00B47F08"/>
    <w:rsid w:val="00B51D77"/>
    <w:rsid w:val="00B53478"/>
    <w:rsid w:val="00B54302"/>
    <w:rsid w:val="00B55196"/>
    <w:rsid w:val="00B55DBB"/>
    <w:rsid w:val="00B56B20"/>
    <w:rsid w:val="00B56DC8"/>
    <w:rsid w:val="00B5712A"/>
    <w:rsid w:val="00B63BCD"/>
    <w:rsid w:val="00B644D8"/>
    <w:rsid w:val="00B65915"/>
    <w:rsid w:val="00B7288C"/>
    <w:rsid w:val="00B753A8"/>
    <w:rsid w:val="00B756A0"/>
    <w:rsid w:val="00B77724"/>
    <w:rsid w:val="00B81445"/>
    <w:rsid w:val="00B816C7"/>
    <w:rsid w:val="00B81FE0"/>
    <w:rsid w:val="00B8488C"/>
    <w:rsid w:val="00B8751C"/>
    <w:rsid w:val="00B9350E"/>
    <w:rsid w:val="00B9613D"/>
    <w:rsid w:val="00B96AA2"/>
    <w:rsid w:val="00BA2F04"/>
    <w:rsid w:val="00BA488C"/>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3C17"/>
    <w:rsid w:val="00BD5224"/>
    <w:rsid w:val="00BD60F7"/>
    <w:rsid w:val="00BD6145"/>
    <w:rsid w:val="00BD73B8"/>
    <w:rsid w:val="00BD7C6E"/>
    <w:rsid w:val="00BD7D61"/>
    <w:rsid w:val="00BE1590"/>
    <w:rsid w:val="00BE209F"/>
    <w:rsid w:val="00BE23F9"/>
    <w:rsid w:val="00BE30F3"/>
    <w:rsid w:val="00BE4728"/>
    <w:rsid w:val="00BE69D8"/>
    <w:rsid w:val="00BF40C2"/>
    <w:rsid w:val="00BF42C9"/>
    <w:rsid w:val="00BF49FE"/>
    <w:rsid w:val="00BF719E"/>
    <w:rsid w:val="00C013B3"/>
    <w:rsid w:val="00C01474"/>
    <w:rsid w:val="00C01D86"/>
    <w:rsid w:val="00C022E2"/>
    <w:rsid w:val="00C0641C"/>
    <w:rsid w:val="00C06732"/>
    <w:rsid w:val="00C10B2A"/>
    <w:rsid w:val="00C113D5"/>
    <w:rsid w:val="00C127A5"/>
    <w:rsid w:val="00C139D7"/>
    <w:rsid w:val="00C158A2"/>
    <w:rsid w:val="00C15994"/>
    <w:rsid w:val="00C15CCD"/>
    <w:rsid w:val="00C15F85"/>
    <w:rsid w:val="00C21374"/>
    <w:rsid w:val="00C2157E"/>
    <w:rsid w:val="00C23B6A"/>
    <w:rsid w:val="00C2451C"/>
    <w:rsid w:val="00C2550B"/>
    <w:rsid w:val="00C26AA1"/>
    <w:rsid w:val="00C26D63"/>
    <w:rsid w:val="00C27C89"/>
    <w:rsid w:val="00C27D76"/>
    <w:rsid w:val="00C313CF"/>
    <w:rsid w:val="00C31549"/>
    <w:rsid w:val="00C31B96"/>
    <w:rsid w:val="00C327B4"/>
    <w:rsid w:val="00C358B4"/>
    <w:rsid w:val="00C3724D"/>
    <w:rsid w:val="00C37BB5"/>
    <w:rsid w:val="00C4392E"/>
    <w:rsid w:val="00C43B4C"/>
    <w:rsid w:val="00C44851"/>
    <w:rsid w:val="00C44F67"/>
    <w:rsid w:val="00C45AD7"/>
    <w:rsid w:val="00C45DF3"/>
    <w:rsid w:val="00C467B8"/>
    <w:rsid w:val="00C47CF4"/>
    <w:rsid w:val="00C50891"/>
    <w:rsid w:val="00C50E39"/>
    <w:rsid w:val="00C52D57"/>
    <w:rsid w:val="00C539AE"/>
    <w:rsid w:val="00C60C20"/>
    <w:rsid w:val="00C628A6"/>
    <w:rsid w:val="00C63244"/>
    <w:rsid w:val="00C64CA0"/>
    <w:rsid w:val="00C64D9B"/>
    <w:rsid w:val="00C65132"/>
    <w:rsid w:val="00C655FD"/>
    <w:rsid w:val="00C66124"/>
    <w:rsid w:val="00C67591"/>
    <w:rsid w:val="00C67B3B"/>
    <w:rsid w:val="00C67BC2"/>
    <w:rsid w:val="00C70FA9"/>
    <w:rsid w:val="00C726BD"/>
    <w:rsid w:val="00C72CA5"/>
    <w:rsid w:val="00C74F3B"/>
    <w:rsid w:val="00C75398"/>
    <w:rsid w:val="00C75699"/>
    <w:rsid w:val="00C76263"/>
    <w:rsid w:val="00C823D2"/>
    <w:rsid w:val="00C86379"/>
    <w:rsid w:val="00C91B85"/>
    <w:rsid w:val="00C93425"/>
    <w:rsid w:val="00C94587"/>
    <w:rsid w:val="00C9681C"/>
    <w:rsid w:val="00C97A6C"/>
    <w:rsid w:val="00C97F3A"/>
    <w:rsid w:val="00CA0B89"/>
    <w:rsid w:val="00CA1411"/>
    <w:rsid w:val="00CA1460"/>
    <w:rsid w:val="00CA1E25"/>
    <w:rsid w:val="00CA1F5F"/>
    <w:rsid w:val="00CA254A"/>
    <w:rsid w:val="00CA390C"/>
    <w:rsid w:val="00CA3FC5"/>
    <w:rsid w:val="00CA4A9C"/>
    <w:rsid w:val="00CA5750"/>
    <w:rsid w:val="00CA6AD8"/>
    <w:rsid w:val="00CA7F01"/>
    <w:rsid w:val="00CB105A"/>
    <w:rsid w:val="00CB52D0"/>
    <w:rsid w:val="00CB533C"/>
    <w:rsid w:val="00CB5DD8"/>
    <w:rsid w:val="00CB6676"/>
    <w:rsid w:val="00CB6726"/>
    <w:rsid w:val="00CC032B"/>
    <w:rsid w:val="00CC1B34"/>
    <w:rsid w:val="00CC2C94"/>
    <w:rsid w:val="00CC5CBA"/>
    <w:rsid w:val="00CC6198"/>
    <w:rsid w:val="00CC7A88"/>
    <w:rsid w:val="00CD0B05"/>
    <w:rsid w:val="00CD0B4C"/>
    <w:rsid w:val="00CD10FF"/>
    <w:rsid w:val="00CD19E2"/>
    <w:rsid w:val="00CD6746"/>
    <w:rsid w:val="00CE0DC7"/>
    <w:rsid w:val="00CE198C"/>
    <w:rsid w:val="00CE1B17"/>
    <w:rsid w:val="00CE2391"/>
    <w:rsid w:val="00CE2D1C"/>
    <w:rsid w:val="00CE408D"/>
    <w:rsid w:val="00CE4FFA"/>
    <w:rsid w:val="00CE7B0E"/>
    <w:rsid w:val="00CF1ACA"/>
    <w:rsid w:val="00CF26E3"/>
    <w:rsid w:val="00CF7FD5"/>
    <w:rsid w:val="00D0166B"/>
    <w:rsid w:val="00D01C91"/>
    <w:rsid w:val="00D029BE"/>
    <w:rsid w:val="00D04D3F"/>
    <w:rsid w:val="00D05A0A"/>
    <w:rsid w:val="00D06392"/>
    <w:rsid w:val="00D077DC"/>
    <w:rsid w:val="00D07D63"/>
    <w:rsid w:val="00D12492"/>
    <w:rsid w:val="00D13542"/>
    <w:rsid w:val="00D15499"/>
    <w:rsid w:val="00D2070F"/>
    <w:rsid w:val="00D226EA"/>
    <w:rsid w:val="00D23935"/>
    <w:rsid w:val="00D24389"/>
    <w:rsid w:val="00D24521"/>
    <w:rsid w:val="00D26829"/>
    <w:rsid w:val="00D26895"/>
    <w:rsid w:val="00D26ECF"/>
    <w:rsid w:val="00D277C7"/>
    <w:rsid w:val="00D27EFE"/>
    <w:rsid w:val="00D3274E"/>
    <w:rsid w:val="00D34A22"/>
    <w:rsid w:val="00D36010"/>
    <w:rsid w:val="00D372A7"/>
    <w:rsid w:val="00D37451"/>
    <w:rsid w:val="00D42355"/>
    <w:rsid w:val="00D43F7B"/>
    <w:rsid w:val="00D46BE1"/>
    <w:rsid w:val="00D530E4"/>
    <w:rsid w:val="00D54483"/>
    <w:rsid w:val="00D55CAA"/>
    <w:rsid w:val="00D618CB"/>
    <w:rsid w:val="00D64E74"/>
    <w:rsid w:val="00D6625D"/>
    <w:rsid w:val="00D664C4"/>
    <w:rsid w:val="00D70892"/>
    <w:rsid w:val="00D7108F"/>
    <w:rsid w:val="00D7181A"/>
    <w:rsid w:val="00D71E8D"/>
    <w:rsid w:val="00D72508"/>
    <w:rsid w:val="00D72864"/>
    <w:rsid w:val="00D73296"/>
    <w:rsid w:val="00D73D02"/>
    <w:rsid w:val="00D752D7"/>
    <w:rsid w:val="00D807CE"/>
    <w:rsid w:val="00D8783A"/>
    <w:rsid w:val="00D87861"/>
    <w:rsid w:val="00D904AA"/>
    <w:rsid w:val="00D916A4"/>
    <w:rsid w:val="00D91DCB"/>
    <w:rsid w:val="00D963F8"/>
    <w:rsid w:val="00D970B0"/>
    <w:rsid w:val="00DA1381"/>
    <w:rsid w:val="00DA1B39"/>
    <w:rsid w:val="00DA377A"/>
    <w:rsid w:val="00DA3916"/>
    <w:rsid w:val="00DA3C9C"/>
    <w:rsid w:val="00DA5A4B"/>
    <w:rsid w:val="00DB30C3"/>
    <w:rsid w:val="00DB4033"/>
    <w:rsid w:val="00DB58C8"/>
    <w:rsid w:val="00DB6E67"/>
    <w:rsid w:val="00DC31D4"/>
    <w:rsid w:val="00DC31E7"/>
    <w:rsid w:val="00DC3B0F"/>
    <w:rsid w:val="00DC495E"/>
    <w:rsid w:val="00DC6979"/>
    <w:rsid w:val="00DC79DA"/>
    <w:rsid w:val="00DD24F3"/>
    <w:rsid w:val="00DD403E"/>
    <w:rsid w:val="00DD54F7"/>
    <w:rsid w:val="00DD5622"/>
    <w:rsid w:val="00DD6ECF"/>
    <w:rsid w:val="00DD7AA6"/>
    <w:rsid w:val="00DE230A"/>
    <w:rsid w:val="00DF0311"/>
    <w:rsid w:val="00DF0FB4"/>
    <w:rsid w:val="00DF2BE6"/>
    <w:rsid w:val="00DF430D"/>
    <w:rsid w:val="00DF47D9"/>
    <w:rsid w:val="00DF4899"/>
    <w:rsid w:val="00DF4C30"/>
    <w:rsid w:val="00DF6BDD"/>
    <w:rsid w:val="00E0099C"/>
    <w:rsid w:val="00E02345"/>
    <w:rsid w:val="00E02E49"/>
    <w:rsid w:val="00E031A0"/>
    <w:rsid w:val="00E03591"/>
    <w:rsid w:val="00E043AB"/>
    <w:rsid w:val="00E04F45"/>
    <w:rsid w:val="00E05DA3"/>
    <w:rsid w:val="00E10E28"/>
    <w:rsid w:val="00E116D3"/>
    <w:rsid w:val="00E1799B"/>
    <w:rsid w:val="00E22EB9"/>
    <w:rsid w:val="00E23290"/>
    <w:rsid w:val="00E23A3B"/>
    <w:rsid w:val="00E25688"/>
    <w:rsid w:val="00E25DB7"/>
    <w:rsid w:val="00E2631E"/>
    <w:rsid w:val="00E269D7"/>
    <w:rsid w:val="00E26D38"/>
    <w:rsid w:val="00E276C4"/>
    <w:rsid w:val="00E278C2"/>
    <w:rsid w:val="00E27A47"/>
    <w:rsid w:val="00E30BC6"/>
    <w:rsid w:val="00E31C5D"/>
    <w:rsid w:val="00E3217D"/>
    <w:rsid w:val="00E340F8"/>
    <w:rsid w:val="00E369BD"/>
    <w:rsid w:val="00E466BF"/>
    <w:rsid w:val="00E46DBC"/>
    <w:rsid w:val="00E47FDC"/>
    <w:rsid w:val="00E50C37"/>
    <w:rsid w:val="00E52F7B"/>
    <w:rsid w:val="00E54245"/>
    <w:rsid w:val="00E550EF"/>
    <w:rsid w:val="00E55C2E"/>
    <w:rsid w:val="00E56467"/>
    <w:rsid w:val="00E57D0C"/>
    <w:rsid w:val="00E602BD"/>
    <w:rsid w:val="00E60384"/>
    <w:rsid w:val="00E63A82"/>
    <w:rsid w:val="00E65D0A"/>
    <w:rsid w:val="00E65F4A"/>
    <w:rsid w:val="00E67187"/>
    <w:rsid w:val="00E71952"/>
    <w:rsid w:val="00E71EE6"/>
    <w:rsid w:val="00E73830"/>
    <w:rsid w:val="00E753DE"/>
    <w:rsid w:val="00E75AD7"/>
    <w:rsid w:val="00E81E99"/>
    <w:rsid w:val="00E832C4"/>
    <w:rsid w:val="00E83E95"/>
    <w:rsid w:val="00E8429E"/>
    <w:rsid w:val="00E85962"/>
    <w:rsid w:val="00E85C25"/>
    <w:rsid w:val="00E91BE1"/>
    <w:rsid w:val="00E94522"/>
    <w:rsid w:val="00E957C1"/>
    <w:rsid w:val="00E96551"/>
    <w:rsid w:val="00E97ED3"/>
    <w:rsid w:val="00EA060C"/>
    <w:rsid w:val="00EA0C0C"/>
    <w:rsid w:val="00EA1882"/>
    <w:rsid w:val="00EA665F"/>
    <w:rsid w:val="00EA79CF"/>
    <w:rsid w:val="00EA7FE4"/>
    <w:rsid w:val="00EB272F"/>
    <w:rsid w:val="00EB2BE9"/>
    <w:rsid w:val="00EB5BF9"/>
    <w:rsid w:val="00EB5D62"/>
    <w:rsid w:val="00EB5E48"/>
    <w:rsid w:val="00EC054E"/>
    <w:rsid w:val="00EC0C42"/>
    <w:rsid w:val="00EC22C0"/>
    <w:rsid w:val="00EC31B1"/>
    <w:rsid w:val="00EC3F88"/>
    <w:rsid w:val="00EC49F1"/>
    <w:rsid w:val="00EC54BF"/>
    <w:rsid w:val="00EC5BE6"/>
    <w:rsid w:val="00EC5C03"/>
    <w:rsid w:val="00EC5FB2"/>
    <w:rsid w:val="00EC680A"/>
    <w:rsid w:val="00EC76B6"/>
    <w:rsid w:val="00ED21F8"/>
    <w:rsid w:val="00ED5551"/>
    <w:rsid w:val="00ED6E3B"/>
    <w:rsid w:val="00ED7727"/>
    <w:rsid w:val="00EE0444"/>
    <w:rsid w:val="00EE06EB"/>
    <w:rsid w:val="00EE0872"/>
    <w:rsid w:val="00EE13C4"/>
    <w:rsid w:val="00EE308A"/>
    <w:rsid w:val="00EE5246"/>
    <w:rsid w:val="00EE660A"/>
    <w:rsid w:val="00EE72D1"/>
    <w:rsid w:val="00EF1FAC"/>
    <w:rsid w:val="00EF2848"/>
    <w:rsid w:val="00EF3FDE"/>
    <w:rsid w:val="00EF6DE0"/>
    <w:rsid w:val="00F00714"/>
    <w:rsid w:val="00F02F32"/>
    <w:rsid w:val="00F0325C"/>
    <w:rsid w:val="00F03696"/>
    <w:rsid w:val="00F04613"/>
    <w:rsid w:val="00F05208"/>
    <w:rsid w:val="00F10AC9"/>
    <w:rsid w:val="00F10C93"/>
    <w:rsid w:val="00F10E73"/>
    <w:rsid w:val="00F10E8D"/>
    <w:rsid w:val="00F10FDA"/>
    <w:rsid w:val="00F13646"/>
    <w:rsid w:val="00F15276"/>
    <w:rsid w:val="00F16BA1"/>
    <w:rsid w:val="00F17625"/>
    <w:rsid w:val="00F1784C"/>
    <w:rsid w:val="00F22253"/>
    <w:rsid w:val="00F2381F"/>
    <w:rsid w:val="00F23826"/>
    <w:rsid w:val="00F249B8"/>
    <w:rsid w:val="00F24BBD"/>
    <w:rsid w:val="00F2631C"/>
    <w:rsid w:val="00F2643F"/>
    <w:rsid w:val="00F270E8"/>
    <w:rsid w:val="00F323B3"/>
    <w:rsid w:val="00F32AEC"/>
    <w:rsid w:val="00F36B0E"/>
    <w:rsid w:val="00F3701C"/>
    <w:rsid w:val="00F450FE"/>
    <w:rsid w:val="00F46035"/>
    <w:rsid w:val="00F467BA"/>
    <w:rsid w:val="00F51510"/>
    <w:rsid w:val="00F51753"/>
    <w:rsid w:val="00F52BB4"/>
    <w:rsid w:val="00F53228"/>
    <w:rsid w:val="00F537DE"/>
    <w:rsid w:val="00F6151D"/>
    <w:rsid w:val="00F66613"/>
    <w:rsid w:val="00F7177C"/>
    <w:rsid w:val="00F71B9D"/>
    <w:rsid w:val="00F7242D"/>
    <w:rsid w:val="00F76ED7"/>
    <w:rsid w:val="00F8038A"/>
    <w:rsid w:val="00F83EA7"/>
    <w:rsid w:val="00F846DA"/>
    <w:rsid w:val="00F85C8A"/>
    <w:rsid w:val="00F85F5C"/>
    <w:rsid w:val="00F90259"/>
    <w:rsid w:val="00F90FEB"/>
    <w:rsid w:val="00F91642"/>
    <w:rsid w:val="00F92F3E"/>
    <w:rsid w:val="00F95CDE"/>
    <w:rsid w:val="00F976E2"/>
    <w:rsid w:val="00FA1E42"/>
    <w:rsid w:val="00FA471C"/>
    <w:rsid w:val="00FA7B61"/>
    <w:rsid w:val="00FB01B5"/>
    <w:rsid w:val="00FB3A7D"/>
    <w:rsid w:val="00FB467B"/>
    <w:rsid w:val="00FB7B4C"/>
    <w:rsid w:val="00FB7E1D"/>
    <w:rsid w:val="00FC2009"/>
    <w:rsid w:val="00FC3D21"/>
    <w:rsid w:val="00FC47EA"/>
    <w:rsid w:val="00FC56D7"/>
    <w:rsid w:val="00FD0321"/>
    <w:rsid w:val="00FD2EFA"/>
    <w:rsid w:val="00FD5922"/>
    <w:rsid w:val="00FD6725"/>
    <w:rsid w:val="00FD6B1F"/>
    <w:rsid w:val="00FD70FE"/>
    <w:rsid w:val="00FD7B2D"/>
    <w:rsid w:val="00FD7B4B"/>
    <w:rsid w:val="00FD7C1E"/>
    <w:rsid w:val="00FE1399"/>
    <w:rsid w:val="00FE14E1"/>
    <w:rsid w:val="00FE3E25"/>
    <w:rsid w:val="00FE3FE4"/>
    <w:rsid w:val="00FE47B7"/>
    <w:rsid w:val="00FE6391"/>
    <w:rsid w:val="00FE6B67"/>
    <w:rsid w:val="00FE72CE"/>
    <w:rsid w:val="00FF18BE"/>
    <w:rsid w:val="00FF3209"/>
    <w:rsid w:val="00FF5A4D"/>
    <w:rsid w:val="00FF6489"/>
    <w:rsid w:val="00FF65B3"/>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7B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101"/>
    <w:pPr>
      <w:spacing w:before="240"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9110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9110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unhideWhenUsed/>
    <w:qFormat/>
    <w:rsid w:val="00474AF3"/>
    <w:pPr>
      <w:keepNext/>
      <w:tabs>
        <w:tab w:val="left" w:pos="8505"/>
      </w:tabs>
      <w:spacing w:before="0" w:after="0"/>
      <w:ind w:right="-754"/>
      <w:outlineLvl w:val="7"/>
    </w:pPr>
    <w:rPr>
      <w:rFonts w:cs="Times New Roman"/>
      <w:b/>
      <w:bCs/>
      <w:lang w:val="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9110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9110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0">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Style1">
    <w:name w:val="Style1"/>
    <w:basedOn w:val="Normal"/>
    <w:link w:val="Style1Char"/>
    <w:qFormat/>
    <w:rsid w:val="00A2798C"/>
    <w:pPr>
      <w:spacing w:after="0" w:line="240" w:lineRule="auto"/>
    </w:pPr>
    <w:rPr>
      <w:rFonts w:ascii="Helvetica" w:eastAsia="Times New Roman" w:hAnsi="Helvetica" w:cs="Times New Roman"/>
      <w:sz w:val="24"/>
      <w:szCs w:val="24"/>
      <w:lang w:val="en-AU" w:eastAsia="en-AU"/>
    </w:rPr>
  </w:style>
  <w:style w:type="character" w:customStyle="1" w:styleId="Style1Char">
    <w:name w:val="Style1 Char"/>
    <w:basedOn w:val="DefaultParagraphFont"/>
    <w:link w:val="Style1"/>
    <w:rsid w:val="00A2798C"/>
    <w:rPr>
      <w:rFonts w:ascii="Helvetica" w:eastAsia="Times New Roman" w:hAnsi="Helvetica" w:cs="Times New Roman"/>
      <w:sz w:val="24"/>
      <w:szCs w:val="24"/>
      <w:lang w:val="en-AU" w:eastAsia="en-AU"/>
    </w:rPr>
  </w:style>
  <w:style w:type="character" w:customStyle="1" w:styleId="SectionChar">
    <w:name w:val="Section Char"/>
    <w:link w:val="Section"/>
    <w:locked/>
    <w:rsid w:val="00A2798C"/>
    <w:rPr>
      <w:rFonts w:ascii="Helvetica" w:hAnsi="Helvetica" w:cs="Helvetica"/>
      <w:sz w:val="24"/>
      <w:szCs w:val="24"/>
      <w:lang w:val="en-AU" w:eastAsia="en-AU"/>
    </w:rPr>
  </w:style>
  <w:style w:type="paragraph" w:customStyle="1" w:styleId="Section">
    <w:name w:val="Section"/>
    <w:basedOn w:val="Normal"/>
    <w:link w:val="SectionChar"/>
    <w:qFormat/>
    <w:rsid w:val="00A2798C"/>
    <w:pPr>
      <w:widowControl w:val="0"/>
      <w:spacing w:line="240" w:lineRule="auto"/>
      <w:ind w:left="1100"/>
    </w:pPr>
    <w:rPr>
      <w:rFonts w:ascii="Helvetica" w:hAnsi="Helvetica" w:cs="Helvetica"/>
      <w:sz w:val="24"/>
      <w:szCs w:val="24"/>
      <w:lang w:val="en-AU" w:eastAsia="en-AU"/>
    </w:rPr>
  </w:style>
  <w:style w:type="numbering" w:customStyle="1" w:styleId="OPCNumbering">
    <w:name w:val="OPC Numbering"/>
    <w:rsid w:val="00A2798C"/>
    <w:pPr>
      <w:numPr>
        <w:numId w:val="3"/>
      </w:numPr>
    </w:pPr>
  </w:style>
  <w:style w:type="paragraph" w:customStyle="1" w:styleId="Paragraph">
    <w:name w:val="Paragraph"/>
    <w:basedOn w:val="Normal"/>
    <w:qFormat/>
    <w:rsid w:val="00A2798C"/>
    <w:pPr>
      <w:widowControl w:val="0"/>
      <w:spacing w:line="240" w:lineRule="auto"/>
      <w:ind w:left="1667" w:hanging="567"/>
    </w:pPr>
    <w:rPr>
      <w:rFonts w:ascii="Helvetica" w:eastAsia="Times New Roman" w:hAnsi="Helvetica" w:cs="Times New Roman"/>
      <w:sz w:val="24"/>
      <w:szCs w:val="24"/>
      <w:lang w:val="en-AU" w:eastAsia="en-AU"/>
    </w:rPr>
  </w:style>
  <w:style w:type="paragraph" w:customStyle="1" w:styleId="Subsection">
    <w:name w:val="Subsection"/>
    <w:basedOn w:val="Normal"/>
    <w:qFormat/>
    <w:rsid w:val="00A2798C"/>
    <w:pPr>
      <w:widowControl w:val="0"/>
      <w:tabs>
        <w:tab w:val="right" w:pos="902"/>
      </w:tabs>
      <w:spacing w:line="240" w:lineRule="auto"/>
      <w:ind w:left="1100" w:hanging="1100"/>
    </w:pPr>
    <w:rPr>
      <w:rFonts w:ascii="Helvetica" w:eastAsia="Times New Roman" w:hAnsi="Helvetica" w:cs="Times New Roman"/>
      <w:sz w:val="24"/>
      <w:szCs w:val="24"/>
      <w:lang w:val="en-AU" w:eastAsia="en-AU"/>
    </w:rPr>
  </w:style>
  <w:style w:type="paragraph" w:customStyle="1" w:styleId="Subpara">
    <w:name w:val="Subpara"/>
    <w:basedOn w:val="Paragraph"/>
    <w:qFormat/>
    <w:rsid w:val="00A2798C"/>
    <w:pPr>
      <w:ind w:left="2268"/>
    </w:pPr>
  </w:style>
  <w:style w:type="paragraph" w:customStyle="1" w:styleId="SectionHeading">
    <w:name w:val="Section Heading"/>
    <w:basedOn w:val="Normal"/>
    <w:next w:val="Normal"/>
    <w:link w:val="SectionHeadingChar"/>
    <w:qFormat/>
    <w:rsid w:val="00A2798C"/>
    <w:pPr>
      <w:keepNext/>
      <w:keepLines/>
      <w:widowControl w:val="0"/>
      <w:numPr>
        <w:numId w:val="3"/>
      </w:numPr>
      <w:tabs>
        <w:tab w:val="left" w:pos="1100"/>
      </w:tabs>
      <w:spacing w:line="240" w:lineRule="auto"/>
      <w:ind w:left="1100" w:hanging="1100"/>
      <w:outlineLvl w:val="4"/>
    </w:pPr>
    <w:rPr>
      <w:rFonts w:ascii="Helvetica" w:eastAsia="Times New Roman" w:hAnsi="Helvetica" w:cs="Times New Roman"/>
      <w:b/>
      <w:sz w:val="24"/>
      <w:szCs w:val="24"/>
      <w:lang w:val="en-AU" w:eastAsia="en-AU"/>
    </w:rPr>
  </w:style>
  <w:style w:type="paragraph" w:customStyle="1" w:styleId="Definition">
    <w:name w:val="Definition"/>
    <w:aliases w:val="dd"/>
    <w:basedOn w:val="Normal"/>
    <w:link w:val="DefinitionChar"/>
    <w:qFormat/>
    <w:rsid w:val="00A2798C"/>
    <w:pPr>
      <w:widowControl w:val="0"/>
      <w:spacing w:line="240" w:lineRule="auto"/>
      <w:ind w:left="1100"/>
    </w:pPr>
    <w:rPr>
      <w:rFonts w:ascii="Helvetica" w:eastAsia="Times New Roman" w:hAnsi="Helvetica" w:cs="Times New Roman"/>
      <w:sz w:val="24"/>
      <w:szCs w:val="20"/>
      <w:lang w:val="en-AU" w:eastAsia="en-AU"/>
    </w:rPr>
  </w:style>
  <w:style w:type="character" w:customStyle="1" w:styleId="SectionHeadingChar">
    <w:name w:val="Section Heading Char"/>
    <w:link w:val="SectionHeading"/>
    <w:rsid w:val="00A2798C"/>
    <w:rPr>
      <w:rFonts w:ascii="Helvetica" w:eastAsia="Times New Roman" w:hAnsi="Helvetica" w:cs="Times New Roman"/>
      <w:b/>
      <w:sz w:val="24"/>
      <w:szCs w:val="24"/>
      <w:lang w:val="en-AU" w:eastAsia="en-AU"/>
    </w:rPr>
  </w:style>
  <w:style w:type="character" w:customStyle="1" w:styleId="DefinitionChar">
    <w:name w:val="Definition Char"/>
    <w:link w:val="Definition"/>
    <w:rsid w:val="00A2798C"/>
    <w:rPr>
      <w:rFonts w:ascii="Helvetica" w:eastAsia="Times New Roman" w:hAnsi="Helvetica" w:cs="Times New Roman"/>
      <w:sz w:val="24"/>
      <w:szCs w:val="20"/>
      <w:lang w:val="en-AU" w:eastAsia="en-AU"/>
    </w:rPr>
  </w:style>
  <w:style w:type="character" w:customStyle="1" w:styleId="fontstyle01">
    <w:name w:val="fontstyle01"/>
    <w:basedOn w:val="DefaultParagraphFont"/>
    <w:rsid w:val="002B7EB6"/>
    <w:rPr>
      <w:rFonts w:ascii="Verdana" w:hAnsi="Verdana" w:hint="default"/>
      <w:b w:val="0"/>
      <w:bCs w:val="0"/>
      <w:i w:val="0"/>
      <w:iCs w:val="0"/>
      <w:color w:val="000000"/>
      <w:sz w:val="20"/>
      <w:szCs w:val="20"/>
    </w:rPr>
  </w:style>
  <w:style w:type="character" w:customStyle="1" w:styleId="fontstyle21">
    <w:name w:val="fontstyle21"/>
    <w:basedOn w:val="DefaultParagraphFont"/>
    <w:rsid w:val="002B7EB6"/>
    <w:rPr>
      <w:rFonts w:ascii="SymbolMT" w:hAnsi="SymbolMT"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F51753"/>
    <w:rPr>
      <w:color w:val="605E5C"/>
      <w:shd w:val="clear" w:color="auto" w:fill="E1DFDD"/>
    </w:rPr>
  </w:style>
  <w:style w:type="character" w:customStyle="1" w:styleId="Heading8Char">
    <w:name w:val="Heading 8 Char"/>
    <w:basedOn w:val="DefaultParagraphFont"/>
    <w:link w:val="Heading8"/>
    <w:uiPriority w:val="9"/>
    <w:rsid w:val="00474AF3"/>
    <w:rPr>
      <w:rFonts w:ascii="Times New Roman" w:hAnsi="Times New Roman" w:cs="Times New Roman"/>
      <w:b/>
      <w:bCs/>
      <w:lang w:val="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101"/>
    <w:pPr>
      <w:spacing w:before="240"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9110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9110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unhideWhenUsed/>
    <w:qFormat/>
    <w:rsid w:val="00474AF3"/>
    <w:pPr>
      <w:keepNext/>
      <w:tabs>
        <w:tab w:val="left" w:pos="8505"/>
      </w:tabs>
      <w:spacing w:before="0" w:after="0"/>
      <w:ind w:right="-754"/>
      <w:outlineLvl w:val="7"/>
    </w:pPr>
    <w:rPr>
      <w:rFonts w:cs="Times New Roman"/>
      <w:b/>
      <w:bCs/>
      <w:lang w:val="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9110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9110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0">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Style1">
    <w:name w:val="Style1"/>
    <w:basedOn w:val="Normal"/>
    <w:link w:val="Style1Char"/>
    <w:qFormat/>
    <w:rsid w:val="00A2798C"/>
    <w:pPr>
      <w:spacing w:after="0" w:line="240" w:lineRule="auto"/>
    </w:pPr>
    <w:rPr>
      <w:rFonts w:ascii="Helvetica" w:eastAsia="Times New Roman" w:hAnsi="Helvetica" w:cs="Times New Roman"/>
      <w:sz w:val="24"/>
      <w:szCs w:val="24"/>
      <w:lang w:val="en-AU" w:eastAsia="en-AU"/>
    </w:rPr>
  </w:style>
  <w:style w:type="character" w:customStyle="1" w:styleId="Style1Char">
    <w:name w:val="Style1 Char"/>
    <w:basedOn w:val="DefaultParagraphFont"/>
    <w:link w:val="Style1"/>
    <w:rsid w:val="00A2798C"/>
    <w:rPr>
      <w:rFonts w:ascii="Helvetica" w:eastAsia="Times New Roman" w:hAnsi="Helvetica" w:cs="Times New Roman"/>
      <w:sz w:val="24"/>
      <w:szCs w:val="24"/>
      <w:lang w:val="en-AU" w:eastAsia="en-AU"/>
    </w:rPr>
  </w:style>
  <w:style w:type="character" w:customStyle="1" w:styleId="SectionChar">
    <w:name w:val="Section Char"/>
    <w:link w:val="Section"/>
    <w:locked/>
    <w:rsid w:val="00A2798C"/>
    <w:rPr>
      <w:rFonts w:ascii="Helvetica" w:hAnsi="Helvetica" w:cs="Helvetica"/>
      <w:sz w:val="24"/>
      <w:szCs w:val="24"/>
      <w:lang w:val="en-AU" w:eastAsia="en-AU"/>
    </w:rPr>
  </w:style>
  <w:style w:type="paragraph" w:customStyle="1" w:styleId="Section">
    <w:name w:val="Section"/>
    <w:basedOn w:val="Normal"/>
    <w:link w:val="SectionChar"/>
    <w:qFormat/>
    <w:rsid w:val="00A2798C"/>
    <w:pPr>
      <w:widowControl w:val="0"/>
      <w:spacing w:line="240" w:lineRule="auto"/>
      <w:ind w:left="1100"/>
    </w:pPr>
    <w:rPr>
      <w:rFonts w:ascii="Helvetica" w:hAnsi="Helvetica" w:cs="Helvetica"/>
      <w:sz w:val="24"/>
      <w:szCs w:val="24"/>
      <w:lang w:val="en-AU" w:eastAsia="en-AU"/>
    </w:rPr>
  </w:style>
  <w:style w:type="numbering" w:customStyle="1" w:styleId="OPCNumbering">
    <w:name w:val="OPC Numbering"/>
    <w:rsid w:val="00A2798C"/>
    <w:pPr>
      <w:numPr>
        <w:numId w:val="3"/>
      </w:numPr>
    </w:pPr>
  </w:style>
  <w:style w:type="paragraph" w:customStyle="1" w:styleId="Paragraph">
    <w:name w:val="Paragraph"/>
    <w:basedOn w:val="Normal"/>
    <w:qFormat/>
    <w:rsid w:val="00A2798C"/>
    <w:pPr>
      <w:widowControl w:val="0"/>
      <w:spacing w:line="240" w:lineRule="auto"/>
      <w:ind w:left="1667" w:hanging="567"/>
    </w:pPr>
    <w:rPr>
      <w:rFonts w:ascii="Helvetica" w:eastAsia="Times New Roman" w:hAnsi="Helvetica" w:cs="Times New Roman"/>
      <w:sz w:val="24"/>
      <w:szCs w:val="24"/>
      <w:lang w:val="en-AU" w:eastAsia="en-AU"/>
    </w:rPr>
  </w:style>
  <w:style w:type="paragraph" w:customStyle="1" w:styleId="Subsection">
    <w:name w:val="Subsection"/>
    <w:basedOn w:val="Normal"/>
    <w:qFormat/>
    <w:rsid w:val="00A2798C"/>
    <w:pPr>
      <w:widowControl w:val="0"/>
      <w:tabs>
        <w:tab w:val="right" w:pos="902"/>
      </w:tabs>
      <w:spacing w:line="240" w:lineRule="auto"/>
      <w:ind w:left="1100" w:hanging="1100"/>
    </w:pPr>
    <w:rPr>
      <w:rFonts w:ascii="Helvetica" w:eastAsia="Times New Roman" w:hAnsi="Helvetica" w:cs="Times New Roman"/>
      <w:sz w:val="24"/>
      <w:szCs w:val="24"/>
      <w:lang w:val="en-AU" w:eastAsia="en-AU"/>
    </w:rPr>
  </w:style>
  <w:style w:type="paragraph" w:customStyle="1" w:styleId="Subpara">
    <w:name w:val="Subpara"/>
    <w:basedOn w:val="Paragraph"/>
    <w:qFormat/>
    <w:rsid w:val="00A2798C"/>
    <w:pPr>
      <w:ind w:left="2268"/>
    </w:pPr>
  </w:style>
  <w:style w:type="paragraph" w:customStyle="1" w:styleId="SectionHeading">
    <w:name w:val="Section Heading"/>
    <w:basedOn w:val="Normal"/>
    <w:next w:val="Normal"/>
    <w:link w:val="SectionHeadingChar"/>
    <w:qFormat/>
    <w:rsid w:val="00A2798C"/>
    <w:pPr>
      <w:keepNext/>
      <w:keepLines/>
      <w:widowControl w:val="0"/>
      <w:numPr>
        <w:numId w:val="3"/>
      </w:numPr>
      <w:tabs>
        <w:tab w:val="left" w:pos="1100"/>
      </w:tabs>
      <w:spacing w:line="240" w:lineRule="auto"/>
      <w:ind w:left="1100" w:hanging="1100"/>
      <w:outlineLvl w:val="4"/>
    </w:pPr>
    <w:rPr>
      <w:rFonts w:ascii="Helvetica" w:eastAsia="Times New Roman" w:hAnsi="Helvetica" w:cs="Times New Roman"/>
      <w:b/>
      <w:sz w:val="24"/>
      <w:szCs w:val="24"/>
      <w:lang w:val="en-AU" w:eastAsia="en-AU"/>
    </w:rPr>
  </w:style>
  <w:style w:type="paragraph" w:customStyle="1" w:styleId="Definition">
    <w:name w:val="Definition"/>
    <w:aliases w:val="dd"/>
    <w:basedOn w:val="Normal"/>
    <w:link w:val="DefinitionChar"/>
    <w:qFormat/>
    <w:rsid w:val="00A2798C"/>
    <w:pPr>
      <w:widowControl w:val="0"/>
      <w:spacing w:line="240" w:lineRule="auto"/>
      <w:ind w:left="1100"/>
    </w:pPr>
    <w:rPr>
      <w:rFonts w:ascii="Helvetica" w:eastAsia="Times New Roman" w:hAnsi="Helvetica" w:cs="Times New Roman"/>
      <w:sz w:val="24"/>
      <w:szCs w:val="20"/>
      <w:lang w:val="en-AU" w:eastAsia="en-AU"/>
    </w:rPr>
  </w:style>
  <w:style w:type="character" w:customStyle="1" w:styleId="SectionHeadingChar">
    <w:name w:val="Section Heading Char"/>
    <w:link w:val="SectionHeading"/>
    <w:rsid w:val="00A2798C"/>
    <w:rPr>
      <w:rFonts w:ascii="Helvetica" w:eastAsia="Times New Roman" w:hAnsi="Helvetica" w:cs="Times New Roman"/>
      <w:b/>
      <w:sz w:val="24"/>
      <w:szCs w:val="24"/>
      <w:lang w:val="en-AU" w:eastAsia="en-AU"/>
    </w:rPr>
  </w:style>
  <w:style w:type="character" w:customStyle="1" w:styleId="DefinitionChar">
    <w:name w:val="Definition Char"/>
    <w:link w:val="Definition"/>
    <w:rsid w:val="00A2798C"/>
    <w:rPr>
      <w:rFonts w:ascii="Helvetica" w:eastAsia="Times New Roman" w:hAnsi="Helvetica" w:cs="Times New Roman"/>
      <w:sz w:val="24"/>
      <w:szCs w:val="20"/>
      <w:lang w:val="en-AU" w:eastAsia="en-AU"/>
    </w:rPr>
  </w:style>
  <w:style w:type="character" w:customStyle="1" w:styleId="fontstyle01">
    <w:name w:val="fontstyle01"/>
    <w:basedOn w:val="DefaultParagraphFont"/>
    <w:rsid w:val="002B7EB6"/>
    <w:rPr>
      <w:rFonts w:ascii="Verdana" w:hAnsi="Verdana" w:hint="default"/>
      <w:b w:val="0"/>
      <w:bCs w:val="0"/>
      <w:i w:val="0"/>
      <w:iCs w:val="0"/>
      <w:color w:val="000000"/>
      <w:sz w:val="20"/>
      <w:szCs w:val="20"/>
    </w:rPr>
  </w:style>
  <w:style w:type="character" w:customStyle="1" w:styleId="fontstyle21">
    <w:name w:val="fontstyle21"/>
    <w:basedOn w:val="DefaultParagraphFont"/>
    <w:rsid w:val="002B7EB6"/>
    <w:rPr>
      <w:rFonts w:ascii="SymbolMT" w:hAnsi="SymbolMT"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F51753"/>
    <w:rPr>
      <w:color w:val="605E5C"/>
      <w:shd w:val="clear" w:color="auto" w:fill="E1DFDD"/>
    </w:rPr>
  </w:style>
  <w:style w:type="character" w:customStyle="1" w:styleId="Heading8Char">
    <w:name w:val="Heading 8 Char"/>
    <w:basedOn w:val="DefaultParagraphFont"/>
    <w:link w:val="Heading8"/>
    <w:uiPriority w:val="9"/>
    <w:rsid w:val="00474AF3"/>
    <w:rPr>
      <w:rFonts w:ascii="Times New Roman" w:hAnsi="Times New Roman" w:cs="Times New Roman"/>
      <w:b/>
      <w:bCs/>
      <w:lang w:val="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66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972">
          <w:marLeft w:val="0"/>
          <w:marRight w:val="0"/>
          <w:marTop w:val="0"/>
          <w:marBottom w:val="0"/>
          <w:divBdr>
            <w:top w:val="none" w:sz="0" w:space="0" w:color="auto"/>
            <w:left w:val="none" w:sz="0" w:space="0" w:color="auto"/>
            <w:bottom w:val="none" w:sz="0" w:space="0" w:color="auto"/>
            <w:right w:val="none" w:sz="0" w:space="0" w:color="auto"/>
          </w:divBdr>
          <w:divsChild>
            <w:div w:id="9877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17977563">
      <w:bodyDiv w:val="1"/>
      <w:marLeft w:val="0"/>
      <w:marRight w:val="0"/>
      <w:marTop w:val="0"/>
      <w:marBottom w:val="0"/>
      <w:divBdr>
        <w:top w:val="none" w:sz="0" w:space="0" w:color="auto"/>
        <w:left w:val="none" w:sz="0" w:space="0" w:color="auto"/>
        <w:bottom w:val="none" w:sz="0" w:space="0" w:color="auto"/>
        <w:right w:val="none" w:sz="0" w:space="0" w:color="auto"/>
      </w:divBdr>
      <w:divsChild>
        <w:div w:id="1977173921">
          <w:marLeft w:val="0"/>
          <w:marRight w:val="0"/>
          <w:marTop w:val="0"/>
          <w:marBottom w:val="0"/>
          <w:divBdr>
            <w:top w:val="none" w:sz="0" w:space="0" w:color="auto"/>
            <w:left w:val="none" w:sz="0" w:space="0" w:color="auto"/>
            <w:bottom w:val="none" w:sz="0" w:space="0" w:color="auto"/>
            <w:right w:val="none" w:sz="0" w:space="0" w:color="auto"/>
          </w:divBdr>
          <w:divsChild>
            <w:div w:id="1784880216">
              <w:marLeft w:val="0"/>
              <w:marRight w:val="0"/>
              <w:marTop w:val="0"/>
              <w:marBottom w:val="0"/>
              <w:divBdr>
                <w:top w:val="none" w:sz="0" w:space="0" w:color="auto"/>
                <w:left w:val="none" w:sz="0" w:space="0" w:color="auto"/>
                <w:bottom w:val="none" w:sz="0" w:space="0" w:color="auto"/>
                <w:right w:val="none" w:sz="0" w:space="0" w:color="auto"/>
              </w:divBdr>
              <w:divsChild>
                <w:div w:id="36124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384450266">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wpro.who.int/southpacific/pic_meeting/2017/documents/12thphmm_session04_04_ncd_french_23aug.pdf"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wpro.who.int/southpacific/pic_meeting/2017/documents/12thphmm_session04_04_ncd_annex2_french_23aug.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744C62E4-7B77-486B-8180-33DC736A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15</Pages>
  <Words>4693</Words>
  <Characters>25893</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57</cp:revision>
  <cp:lastPrinted>2019-07-07T11:28:00Z</cp:lastPrinted>
  <dcterms:created xsi:type="dcterms:W3CDTF">2019-06-17T00:05:00Z</dcterms:created>
  <dcterms:modified xsi:type="dcterms:W3CDTF">2019-07-27T04:22:00Z</dcterms:modified>
</cp:coreProperties>
</file>